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C1" w:rsidRPr="00DF1DEE" w:rsidRDefault="00AB0FA6" w:rsidP="008F32C1">
      <w:r>
        <w:rPr>
          <w:b/>
        </w:rPr>
        <w:t xml:space="preserve">Supplementary </w:t>
      </w:r>
      <w:bookmarkStart w:id="0" w:name="_GoBack"/>
      <w:bookmarkEnd w:id="0"/>
      <w:r w:rsidR="008F32C1" w:rsidRPr="00A206DA">
        <w:rPr>
          <w:b/>
        </w:rPr>
        <w:t>Table 1</w:t>
      </w:r>
      <w:r w:rsidR="00A206DA" w:rsidRPr="00A206DA">
        <w:rPr>
          <w:b/>
        </w:rPr>
        <w:t>.</w:t>
      </w:r>
      <w:r w:rsidR="008F32C1">
        <w:t xml:space="preserve"> Summary of literature on </w:t>
      </w:r>
      <w:r w:rsidR="003E77CC">
        <w:t xml:space="preserve">methodology for assessing the </w:t>
      </w:r>
      <w:r w:rsidR="008F32C1">
        <w:t>natural history of retinal haemorrhages in infants an</w:t>
      </w:r>
      <w:r w:rsidR="00552C6C">
        <w:t>d children</w:t>
      </w:r>
      <w:r w:rsidR="008F32C1">
        <w:t>.</w:t>
      </w:r>
      <w:r w:rsidR="003E77CC">
        <w:t xml:space="preserve"> </w:t>
      </w:r>
    </w:p>
    <w:tbl>
      <w:tblPr>
        <w:tblStyle w:val="TableGrid"/>
        <w:tblW w:w="14786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3119"/>
        <w:gridCol w:w="3260"/>
        <w:gridCol w:w="4301"/>
      </w:tblGrid>
      <w:tr w:rsidR="008F32C1" w:rsidTr="002E7A2F">
        <w:tc>
          <w:tcPr>
            <w:tcW w:w="198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Author/Paper</w:t>
            </w:r>
          </w:p>
        </w:tc>
        <w:tc>
          <w:tcPr>
            <w:tcW w:w="2126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Aim</w:t>
            </w:r>
          </w:p>
        </w:tc>
        <w:tc>
          <w:tcPr>
            <w:tcW w:w="3119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Patients and Method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Results</w:t>
            </w: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Conclusion</w:t>
            </w: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6171E0">
            <w:pPr>
              <w:rPr>
                <w:sz w:val="20"/>
                <w:szCs w:val="20"/>
              </w:rPr>
            </w:pPr>
            <w:r w:rsidRPr="00DF1DEE">
              <w:rPr>
                <w:b/>
                <w:sz w:val="20"/>
                <w:szCs w:val="20"/>
              </w:rPr>
              <w:t>Pierre-Kahn</w:t>
            </w:r>
            <w:r w:rsidRPr="00DF1DEE">
              <w:rPr>
                <w:sz w:val="20"/>
                <w:szCs w:val="20"/>
              </w:rPr>
              <w:t xml:space="preserve"> V et al; Ophthalmology 2003; 110:1718-1723</w:t>
            </w:r>
            <w:r w:rsidR="006171E0">
              <w:rPr>
                <w:sz w:val="20"/>
                <w:szCs w:val="20"/>
              </w:rPr>
              <w:t>.</w:t>
            </w:r>
            <w:r w:rsidR="006171E0" w:rsidRPr="006171E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To determine the ophthalmological manifestations and their natural course in child abuse victims. Prospective, comparative, observational case series.</w:t>
            </w:r>
          </w:p>
        </w:tc>
        <w:tc>
          <w:tcPr>
            <w:tcW w:w="3119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241 consecutive infants with </w:t>
            </w:r>
            <w:r>
              <w:rPr>
                <w:sz w:val="20"/>
                <w:szCs w:val="20"/>
              </w:rPr>
              <w:t>subdural haemorrhage (</w:t>
            </w:r>
            <w:r w:rsidRPr="00DF1DEE">
              <w:rPr>
                <w:sz w:val="20"/>
                <w:szCs w:val="20"/>
              </w:rPr>
              <w:t>SDH</w:t>
            </w:r>
            <w:r>
              <w:rPr>
                <w:sz w:val="20"/>
                <w:szCs w:val="20"/>
              </w:rPr>
              <w:t>)</w:t>
            </w:r>
            <w:r w:rsidRPr="00DF1DEE">
              <w:rPr>
                <w:sz w:val="20"/>
                <w:szCs w:val="20"/>
              </w:rPr>
              <w:t>, &lt;3years</w:t>
            </w:r>
            <w:r>
              <w:rPr>
                <w:sz w:val="20"/>
                <w:szCs w:val="20"/>
              </w:rPr>
              <w:t>,</w:t>
            </w:r>
            <w:r w:rsidRPr="00DF1DEE">
              <w:rPr>
                <w:sz w:val="20"/>
                <w:szCs w:val="20"/>
              </w:rPr>
              <w:t xml:space="preserve"> but 10 excluded</w:t>
            </w:r>
            <w:r>
              <w:rPr>
                <w:sz w:val="20"/>
                <w:szCs w:val="20"/>
              </w:rPr>
              <w:t xml:space="preserve"> from the study.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186 presumed shaken</w:t>
            </w:r>
            <w:r>
              <w:rPr>
                <w:sz w:val="20"/>
                <w:szCs w:val="20"/>
              </w:rPr>
              <w:t xml:space="preserve"> (Group</w:t>
            </w:r>
            <w:r w:rsidR="00552C6C">
              <w:rPr>
                <w:sz w:val="20"/>
                <w:szCs w:val="20"/>
              </w:rPr>
              <w:t xml:space="preserve"> 1);</w:t>
            </w:r>
            <w:r w:rsidRPr="00DF1DEE">
              <w:rPr>
                <w:sz w:val="20"/>
                <w:szCs w:val="20"/>
              </w:rPr>
              <w:t xml:space="preserve"> 38 </w:t>
            </w:r>
            <w:r>
              <w:rPr>
                <w:sz w:val="20"/>
                <w:szCs w:val="20"/>
              </w:rPr>
              <w:t xml:space="preserve">had </w:t>
            </w:r>
            <w:r w:rsidRPr="00DF1DEE">
              <w:rPr>
                <w:sz w:val="20"/>
                <w:szCs w:val="20"/>
              </w:rPr>
              <w:t>signs of direct head trauma without relevant history of trauma (G</w:t>
            </w:r>
            <w:r>
              <w:rPr>
                <w:sz w:val="20"/>
                <w:szCs w:val="20"/>
              </w:rPr>
              <w:t>rou</w:t>
            </w:r>
            <w:r w:rsidR="00552C6C">
              <w:rPr>
                <w:sz w:val="20"/>
                <w:szCs w:val="20"/>
              </w:rPr>
              <w:t>p 2);</w:t>
            </w:r>
            <w:r w:rsidRPr="00DF1DEE">
              <w:rPr>
                <w:sz w:val="20"/>
                <w:szCs w:val="20"/>
              </w:rPr>
              <w:t xml:space="preserve"> 7 proven accidental head trauma (G</w:t>
            </w:r>
            <w:r>
              <w:rPr>
                <w:sz w:val="20"/>
                <w:szCs w:val="20"/>
              </w:rPr>
              <w:t>rou</w:t>
            </w:r>
            <w:r w:rsidRPr="00DF1DEE">
              <w:rPr>
                <w:sz w:val="20"/>
                <w:szCs w:val="20"/>
              </w:rPr>
              <w:t>p 3).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Binocular indirect ophthalmoscopy. Description of the fundus was drawn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F32C1" w:rsidRPr="00DF1DEE" w:rsidRDefault="008F32C1" w:rsidP="00F00FA5">
            <w:pPr>
              <w:rPr>
                <w:b/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No difference in the shape, laterality and size of </w:t>
            </w:r>
            <w:r>
              <w:rPr>
                <w:sz w:val="20"/>
                <w:szCs w:val="20"/>
              </w:rPr>
              <w:t>intraocular haemorrhages (</w:t>
            </w:r>
            <w:r w:rsidRPr="00DF1DEE">
              <w:rPr>
                <w:sz w:val="20"/>
                <w:szCs w:val="20"/>
              </w:rPr>
              <w:t>IOHs</w:t>
            </w:r>
            <w:r>
              <w:rPr>
                <w:sz w:val="20"/>
                <w:szCs w:val="20"/>
              </w:rPr>
              <w:t>)</w:t>
            </w:r>
            <w:r w:rsidR="00F00FA5">
              <w:rPr>
                <w:sz w:val="20"/>
                <w:szCs w:val="20"/>
              </w:rPr>
              <w:t xml:space="preserve">, but significantly more frequent </w:t>
            </w:r>
            <w:r w:rsidRPr="00DF1DE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Group 1</w:t>
            </w:r>
            <w:r w:rsidRPr="00DF1DEE">
              <w:rPr>
                <w:sz w:val="20"/>
                <w:szCs w:val="20"/>
              </w:rPr>
              <w:t xml:space="preserve"> than </w:t>
            </w:r>
            <w:r>
              <w:rPr>
                <w:sz w:val="20"/>
                <w:szCs w:val="20"/>
              </w:rPr>
              <w:t xml:space="preserve">Group 2,  </w:t>
            </w:r>
            <w:r w:rsidRPr="00DF1DEE">
              <w:rPr>
                <w:sz w:val="20"/>
                <w:szCs w:val="20"/>
              </w:rPr>
              <w:t xml:space="preserve">77.5% </w:t>
            </w:r>
            <w:r w:rsidR="00552C6C">
              <w:rPr>
                <w:sz w:val="20"/>
                <w:szCs w:val="20"/>
              </w:rPr>
              <w:t xml:space="preserve"> </w:t>
            </w:r>
            <w:r w:rsidRPr="00DF1DEE">
              <w:rPr>
                <w:sz w:val="20"/>
                <w:szCs w:val="20"/>
              </w:rPr>
              <w:t>vs</w:t>
            </w:r>
            <w:r>
              <w:rPr>
                <w:sz w:val="20"/>
                <w:szCs w:val="20"/>
              </w:rPr>
              <w:t>. 20%</w:t>
            </w:r>
            <w:r w:rsidRPr="00DF1DEE">
              <w:rPr>
                <w:sz w:val="20"/>
                <w:szCs w:val="20"/>
              </w:rPr>
              <w:t xml:space="preserve">. None of </w:t>
            </w:r>
            <w:r>
              <w:rPr>
                <w:sz w:val="20"/>
                <w:szCs w:val="20"/>
              </w:rPr>
              <w:t>Group 3</w:t>
            </w:r>
            <w:r w:rsidRPr="00DF1DEE">
              <w:rPr>
                <w:sz w:val="20"/>
                <w:szCs w:val="20"/>
              </w:rPr>
              <w:t xml:space="preserve"> had IOH</w:t>
            </w:r>
            <w:r w:rsidR="00552C6C">
              <w:rPr>
                <w:sz w:val="20"/>
                <w:szCs w:val="20"/>
              </w:rPr>
              <w:t>s</w:t>
            </w:r>
            <w:r w:rsidRPr="00DF1DEE">
              <w:rPr>
                <w:sz w:val="20"/>
                <w:szCs w:val="20"/>
              </w:rPr>
              <w:t xml:space="preserve">.  </w:t>
            </w:r>
            <w:r w:rsidRPr="006171E0">
              <w:rPr>
                <w:sz w:val="20"/>
                <w:szCs w:val="20"/>
              </w:rPr>
              <w:t>8</w:t>
            </w:r>
            <w:r w:rsidR="00F00FA5">
              <w:rPr>
                <w:sz w:val="20"/>
                <w:szCs w:val="20"/>
              </w:rPr>
              <w:t>2% of the IOHs resolved within 4</w:t>
            </w:r>
            <w:r w:rsidRPr="006171E0">
              <w:rPr>
                <w:sz w:val="20"/>
                <w:szCs w:val="20"/>
              </w:rPr>
              <w:t xml:space="preserve"> weeks.</w:t>
            </w: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135/153 </w:t>
            </w:r>
            <w:r w:rsidRPr="00DF1DEE">
              <w:rPr>
                <w:sz w:val="20"/>
                <w:szCs w:val="20"/>
              </w:rPr>
              <w:t xml:space="preserve">(88.2%) </w:t>
            </w:r>
            <w:r>
              <w:rPr>
                <w:sz w:val="20"/>
                <w:szCs w:val="20"/>
              </w:rPr>
              <w:t>IOHs disappeared between days 16 and 30. Eight</w:t>
            </w:r>
            <w:r w:rsidRPr="00DF1DEE">
              <w:rPr>
                <w:sz w:val="20"/>
                <w:szCs w:val="20"/>
              </w:rPr>
              <w:t xml:space="preserve"> fundi b</w:t>
            </w:r>
            <w:r>
              <w:rPr>
                <w:sz w:val="20"/>
                <w:szCs w:val="20"/>
              </w:rPr>
              <w:t>ecame normal before day 15 (in one</w:t>
            </w:r>
            <w:r w:rsidRPr="00DF1DEE">
              <w:rPr>
                <w:sz w:val="20"/>
                <w:szCs w:val="20"/>
              </w:rPr>
              <w:t>, IOH cleared with</w:t>
            </w:r>
            <w:r>
              <w:rPr>
                <w:sz w:val="20"/>
                <w:szCs w:val="20"/>
              </w:rPr>
              <w:t xml:space="preserve">in 3 days) whereas 10 fundi </w:t>
            </w:r>
            <w:r w:rsidRPr="00DF1DEE">
              <w:rPr>
                <w:sz w:val="20"/>
                <w:szCs w:val="20"/>
              </w:rPr>
              <w:t xml:space="preserve">showed </w:t>
            </w:r>
            <w:r>
              <w:rPr>
                <w:sz w:val="20"/>
                <w:szCs w:val="20"/>
              </w:rPr>
              <w:t xml:space="preserve">persisting </w:t>
            </w:r>
            <w:r w:rsidRPr="00DF1DEE">
              <w:rPr>
                <w:sz w:val="20"/>
                <w:szCs w:val="20"/>
              </w:rPr>
              <w:t>IOH</w:t>
            </w:r>
            <w:r>
              <w:rPr>
                <w:sz w:val="20"/>
                <w:szCs w:val="20"/>
              </w:rPr>
              <w:t>s</w:t>
            </w:r>
            <w:r w:rsidRPr="00DF1DEE">
              <w:rPr>
                <w:sz w:val="20"/>
                <w:szCs w:val="20"/>
              </w:rPr>
              <w:t xml:space="preserve"> after 1 month. </w:t>
            </w:r>
          </w:p>
          <w:p w:rsidR="008F32C1" w:rsidRPr="00DF1DEE" w:rsidRDefault="008F32C1" w:rsidP="008F32C1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Blood disappeared faster when it was a small amount and superficial within the retina. When IOH were </w:t>
            </w:r>
            <w:r>
              <w:rPr>
                <w:sz w:val="20"/>
                <w:szCs w:val="20"/>
              </w:rPr>
              <w:t>a large amount of retrohyaloid or intravitrea</w:t>
            </w:r>
            <w:r w:rsidRPr="00DF1DEE">
              <w:rPr>
                <w:sz w:val="20"/>
                <w:szCs w:val="20"/>
              </w:rPr>
              <w:t xml:space="preserve">l blood, it often took more than 1.5 months to disappear, and the patient was at risk of amblyopia. Persistent </w:t>
            </w:r>
            <w:r>
              <w:rPr>
                <w:sz w:val="20"/>
                <w:szCs w:val="20"/>
              </w:rPr>
              <w:t xml:space="preserve">intravitreal haemorrhage required </w:t>
            </w:r>
            <w:r w:rsidRPr="00DF1DEE">
              <w:rPr>
                <w:sz w:val="20"/>
                <w:szCs w:val="20"/>
              </w:rPr>
              <w:t xml:space="preserve">vitrectomy in </w:t>
            </w:r>
            <w:r>
              <w:rPr>
                <w:sz w:val="20"/>
                <w:szCs w:val="20"/>
              </w:rPr>
              <w:t>two</w:t>
            </w:r>
            <w:r w:rsidRPr="00DF1DEE">
              <w:rPr>
                <w:sz w:val="20"/>
                <w:szCs w:val="20"/>
              </w:rPr>
              <w:t xml:space="preserve"> cases.</w:t>
            </w: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6171E0">
            <w:pPr>
              <w:rPr>
                <w:sz w:val="20"/>
                <w:szCs w:val="20"/>
              </w:rPr>
            </w:pPr>
            <w:r w:rsidRPr="00DF1DEE">
              <w:rPr>
                <w:b/>
                <w:sz w:val="20"/>
                <w:szCs w:val="20"/>
              </w:rPr>
              <w:t>Adams</w:t>
            </w:r>
            <w:r w:rsidR="006171E0">
              <w:rPr>
                <w:sz w:val="20"/>
                <w:szCs w:val="20"/>
              </w:rPr>
              <w:t xml:space="preserve"> GGW et al; </w:t>
            </w:r>
            <w:r w:rsidRPr="00DF1DEE">
              <w:rPr>
                <w:sz w:val="20"/>
                <w:szCs w:val="20"/>
              </w:rPr>
              <w:t>BJO 2013. 97: (9), 1138-1142</w:t>
            </w:r>
            <w:r w:rsidR="006171E0">
              <w:rPr>
                <w:sz w:val="20"/>
                <w:szCs w:val="20"/>
              </w:rPr>
              <w:t>.</w:t>
            </w:r>
            <w:r w:rsidR="006171E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8F32C1" w:rsidRPr="00DF1DEE" w:rsidRDefault="008F32C1" w:rsidP="006171E0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Appearance and location of RHs in critically ill children not due to birth or Abusive </w:t>
            </w:r>
            <w:r w:rsidR="006171E0">
              <w:rPr>
                <w:sz w:val="20"/>
                <w:szCs w:val="20"/>
              </w:rPr>
              <w:t>Head Trauma (AHT).</w:t>
            </w:r>
          </w:p>
        </w:tc>
        <w:tc>
          <w:tcPr>
            <w:tcW w:w="3119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Prospective, emergency admissions to PICU over 6 weeks of age. Excluded: eye injuries or AHT.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6171E0">
              <w:rPr>
                <w:sz w:val="20"/>
                <w:szCs w:val="20"/>
              </w:rPr>
              <w:t>RetCam used by either Intensive Care staff or an Ophthalmologist.</w:t>
            </w:r>
            <w:r w:rsidRPr="00DF1DEE">
              <w:rPr>
                <w:sz w:val="20"/>
                <w:szCs w:val="20"/>
              </w:rPr>
              <w:t xml:space="preserve"> Patients recruited within </w:t>
            </w:r>
            <w:r w:rsidR="006171E0">
              <w:rPr>
                <w:sz w:val="20"/>
                <w:szCs w:val="20"/>
              </w:rPr>
              <w:t xml:space="preserve">first </w:t>
            </w:r>
            <w:r w:rsidRPr="00DF1DEE">
              <w:rPr>
                <w:sz w:val="20"/>
                <w:szCs w:val="20"/>
              </w:rPr>
              <w:t>48 hours of admission.</w:t>
            </w:r>
          </w:p>
          <w:p w:rsidR="008F32C1" w:rsidRPr="00DF1DEE" w:rsidRDefault="006171E0" w:rsidP="006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Retinal Zone described using the international classification of retinopathy of prematurity </w:t>
            </w:r>
            <w:r w:rsidR="008F32C1" w:rsidRPr="00DF1DEE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Dilated fundoscopy by </w:t>
            </w:r>
            <w:r w:rsidR="006171E0">
              <w:rPr>
                <w:sz w:val="20"/>
                <w:szCs w:val="20"/>
              </w:rPr>
              <w:t>paediatric ophthalmologist,</w:t>
            </w:r>
            <w:r w:rsidRPr="00DF1DEE">
              <w:rPr>
                <w:sz w:val="20"/>
                <w:szCs w:val="20"/>
              </w:rPr>
              <w:t xml:space="preserve"> or RetCam</w:t>
            </w:r>
            <w:r w:rsidR="006171E0">
              <w:rPr>
                <w:sz w:val="20"/>
                <w:szCs w:val="20"/>
              </w:rPr>
              <w:t>. Retinal Haemorrhages (RHs)</w:t>
            </w:r>
            <w:r w:rsidRPr="00DF1DEE">
              <w:rPr>
                <w:sz w:val="20"/>
                <w:szCs w:val="20"/>
              </w:rPr>
              <w:t xml:space="preserve"> </w:t>
            </w:r>
            <w:r w:rsidR="006171E0">
              <w:rPr>
                <w:sz w:val="20"/>
                <w:szCs w:val="20"/>
              </w:rPr>
              <w:t xml:space="preserve">found </w:t>
            </w:r>
            <w:r w:rsidRPr="00DF1DEE">
              <w:rPr>
                <w:sz w:val="20"/>
                <w:szCs w:val="20"/>
              </w:rPr>
              <w:t>in 24/159 (15%) patients. 50% bilateral. Severity mild or moderate (&lt;5-20RHs) in 75%. Location: Zone 1 45.8%</w:t>
            </w:r>
            <w:r w:rsidR="00683367">
              <w:rPr>
                <w:sz w:val="20"/>
                <w:szCs w:val="20"/>
              </w:rPr>
              <w:t>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proofErr w:type="spellStart"/>
            <w:r w:rsidRPr="00DF1DEE">
              <w:rPr>
                <w:sz w:val="20"/>
                <w:szCs w:val="20"/>
              </w:rPr>
              <w:t>Schisis</w:t>
            </w:r>
            <w:proofErr w:type="spellEnd"/>
            <w:r w:rsidRPr="00DF1DEE">
              <w:rPr>
                <w:sz w:val="20"/>
                <w:szCs w:val="20"/>
              </w:rPr>
              <w:t xml:space="preserve"> and </w:t>
            </w:r>
            <w:proofErr w:type="spellStart"/>
            <w:r w:rsidRPr="00DF1DEE">
              <w:rPr>
                <w:sz w:val="20"/>
                <w:szCs w:val="20"/>
              </w:rPr>
              <w:t>perimacular</w:t>
            </w:r>
            <w:proofErr w:type="spellEnd"/>
            <w:r w:rsidRPr="00DF1DEE">
              <w:rPr>
                <w:sz w:val="20"/>
                <w:szCs w:val="20"/>
              </w:rPr>
              <w:t xml:space="preserve"> folds in 2 patients and bilateral retinal detachment in 1 patient.</w:t>
            </w: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DD4347">
            <w:pPr>
              <w:rPr>
                <w:sz w:val="20"/>
                <w:szCs w:val="20"/>
              </w:rPr>
            </w:pPr>
            <w:r w:rsidRPr="00DF1DEE">
              <w:rPr>
                <w:b/>
                <w:sz w:val="20"/>
                <w:szCs w:val="20"/>
              </w:rPr>
              <w:t>Bhardwaj</w:t>
            </w:r>
            <w:r w:rsidRPr="00DF1DEE">
              <w:rPr>
                <w:sz w:val="20"/>
                <w:szCs w:val="20"/>
              </w:rPr>
              <w:t xml:space="preserve"> G et al. 2014 AAPOS; 18:523-528</w:t>
            </w:r>
            <w:r w:rsidR="00DD4347">
              <w:rPr>
                <w:sz w:val="20"/>
                <w:szCs w:val="20"/>
              </w:rPr>
              <w:t>.</w:t>
            </w:r>
            <w:r w:rsidR="00DD4347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126" w:type="dxa"/>
          </w:tcPr>
          <w:p w:rsidR="008F32C1" w:rsidRPr="00DF1DEE" w:rsidRDefault="008F32C1" w:rsidP="00DD434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Grading system for describing RHs in </w:t>
            </w:r>
            <w:r w:rsidR="00DD4347">
              <w:rPr>
                <w:sz w:val="20"/>
                <w:szCs w:val="20"/>
              </w:rPr>
              <w:t>AHT</w:t>
            </w:r>
          </w:p>
        </w:tc>
        <w:tc>
          <w:tcPr>
            <w:tcW w:w="3119" w:type="dxa"/>
          </w:tcPr>
          <w:p w:rsidR="008F32C1" w:rsidRPr="00DF1DEE" w:rsidRDefault="00DD4347" w:rsidP="00DD4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8F32C1" w:rsidRPr="00DF1DEE">
              <w:rPr>
                <w:sz w:val="20"/>
                <w:szCs w:val="20"/>
              </w:rPr>
              <w:t>Tra</w:t>
            </w:r>
            <w:r>
              <w:rPr>
                <w:sz w:val="20"/>
                <w:szCs w:val="20"/>
              </w:rPr>
              <w:t>umatic Haemorrhagic Retinopathy (THR)</w:t>
            </w:r>
            <w:r w:rsidR="008F32C1" w:rsidRPr="00DF1DEE">
              <w:rPr>
                <w:sz w:val="20"/>
                <w:szCs w:val="20"/>
              </w:rPr>
              <w:t xml:space="preserve"> grading system was developed, based on extent (posterior pole or periphery), spread (mild -&lt;10, moderate &gt;10, </w:t>
            </w:r>
            <w:r w:rsidR="008F32C1" w:rsidRPr="00DF1DEE">
              <w:rPr>
                <w:sz w:val="20"/>
                <w:szCs w:val="20"/>
              </w:rPr>
              <w:lastRenderedPageBreak/>
              <w:t>severe &gt; more than half of involved regions covered by RHs, and morphology (intraretinal or extraretinal)</w:t>
            </w:r>
            <w:r>
              <w:rPr>
                <w:sz w:val="20"/>
                <w:szCs w:val="20"/>
              </w:rPr>
              <w:t>.</w:t>
            </w:r>
            <w:r w:rsidR="008F32C1" w:rsidRPr="00DF1DEE">
              <w:rPr>
                <w:sz w:val="20"/>
                <w:szCs w:val="20"/>
              </w:rPr>
              <w:t xml:space="preserve"> 2 Graders. THR grades from</w:t>
            </w:r>
            <w:r>
              <w:rPr>
                <w:sz w:val="20"/>
                <w:szCs w:val="20"/>
              </w:rPr>
              <w:t xml:space="preserve"> RetCam on 38 eyes, 19 patients age</w:t>
            </w:r>
            <w:r w:rsidR="008F32C1" w:rsidRPr="00DF1DEE">
              <w:rPr>
                <w:sz w:val="20"/>
                <w:szCs w:val="20"/>
              </w:rPr>
              <w:t xml:space="preserve"> &lt;3 years with RHs associated with </w:t>
            </w:r>
            <w:r>
              <w:rPr>
                <w:sz w:val="20"/>
                <w:szCs w:val="20"/>
              </w:rPr>
              <w:t>AHT</w:t>
            </w:r>
            <w:r w:rsidR="008F32C1" w:rsidRPr="00DF1DEE">
              <w:rPr>
                <w:sz w:val="20"/>
                <w:szCs w:val="20"/>
              </w:rPr>
              <w:t>. Graded on 2 occasions. Intra and Inter-reliability</w:t>
            </w:r>
            <w:r>
              <w:rPr>
                <w:sz w:val="20"/>
                <w:szCs w:val="20"/>
              </w:rPr>
              <w:t xml:space="preserve"> measured.</w:t>
            </w:r>
          </w:p>
        </w:tc>
        <w:tc>
          <w:tcPr>
            <w:tcW w:w="3260" w:type="dxa"/>
          </w:tcPr>
          <w:p w:rsidR="008F32C1" w:rsidRPr="00DF1DEE" w:rsidRDefault="008F32C1" w:rsidP="00DD434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lastRenderedPageBreak/>
              <w:t>High level Intra-observer agreement across both assessments (97</w:t>
            </w:r>
            <w:proofErr w:type="gramStart"/>
            <w:r w:rsidR="00A0593C">
              <w:rPr>
                <w:sz w:val="20"/>
                <w:szCs w:val="20"/>
              </w:rPr>
              <w:t xml:space="preserve">% </w:t>
            </w:r>
            <w:r w:rsidRPr="00DF1DEE">
              <w:rPr>
                <w:sz w:val="20"/>
                <w:szCs w:val="20"/>
              </w:rPr>
              <w:t xml:space="preserve"> and</w:t>
            </w:r>
            <w:proofErr w:type="gramEnd"/>
            <w:r w:rsidRPr="00DF1DEE">
              <w:rPr>
                <w:sz w:val="20"/>
                <w:szCs w:val="20"/>
              </w:rPr>
              <w:t xml:space="preserve"> 100%). Intra-class correlation </w:t>
            </w:r>
            <w:r w:rsidR="00DD4347">
              <w:rPr>
                <w:sz w:val="20"/>
                <w:szCs w:val="20"/>
              </w:rPr>
              <w:t>showed very</w:t>
            </w:r>
            <w:r w:rsidRPr="00DF1DEE">
              <w:rPr>
                <w:sz w:val="20"/>
                <w:szCs w:val="20"/>
              </w:rPr>
              <w:t xml:space="preserve"> high level of </w:t>
            </w:r>
            <w:r w:rsidRPr="00DF1DEE">
              <w:rPr>
                <w:sz w:val="20"/>
                <w:szCs w:val="20"/>
              </w:rPr>
              <w:lastRenderedPageBreak/>
              <w:t>agreement</w:t>
            </w:r>
            <w:r w:rsidR="00DD4347">
              <w:rPr>
                <w:sz w:val="20"/>
                <w:szCs w:val="20"/>
              </w:rPr>
              <w:t>.</w:t>
            </w: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lastRenderedPageBreak/>
              <w:t>The Grading system demonstrated excellent intra-observer and inter-observer reliability.</w:t>
            </w: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DD4347">
            <w:pPr>
              <w:rPr>
                <w:sz w:val="20"/>
                <w:szCs w:val="20"/>
              </w:rPr>
            </w:pPr>
            <w:proofErr w:type="spellStart"/>
            <w:r w:rsidRPr="00DF1DEE">
              <w:rPr>
                <w:b/>
                <w:sz w:val="20"/>
                <w:szCs w:val="20"/>
              </w:rPr>
              <w:t>Binenbaum</w:t>
            </w:r>
            <w:proofErr w:type="spellEnd"/>
            <w:r w:rsidRPr="00DF1DEE">
              <w:rPr>
                <w:sz w:val="20"/>
                <w:szCs w:val="20"/>
              </w:rPr>
              <w:t xml:space="preserve"> G et al. 2016 J AAPOS; 20:131-135</w:t>
            </w:r>
            <w:r w:rsidR="00DD4347">
              <w:rPr>
                <w:sz w:val="20"/>
                <w:szCs w:val="20"/>
              </w:rPr>
              <w:t>.</w:t>
            </w:r>
            <w:r w:rsidR="00DD4347"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126" w:type="dxa"/>
          </w:tcPr>
          <w:p w:rsidR="008F32C1" w:rsidRPr="00DF1DEE" w:rsidRDefault="008F32C1" w:rsidP="00DD434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To identify the natural history of RHs in </w:t>
            </w:r>
            <w:r w:rsidR="00DD4347">
              <w:rPr>
                <w:sz w:val="20"/>
                <w:szCs w:val="20"/>
              </w:rPr>
              <w:t>paediatric head i</w:t>
            </w:r>
            <w:r w:rsidRPr="00DF1DEE">
              <w:rPr>
                <w:sz w:val="20"/>
                <w:szCs w:val="20"/>
              </w:rPr>
              <w:t>njury, and identify patterns suggestive of chronicity in order to help establish timing of suspected traumatic injury.</w:t>
            </w:r>
          </w:p>
        </w:tc>
        <w:tc>
          <w:tcPr>
            <w:tcW w:w="3119" w:type="dxa"/>
          </w:tcPr>
          <w:p w:rsidR="008F32C1" w:rsidRPr="00DF1DEE" w:rsidRDefault="00DD4347" w:rsidP="0067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children &lt;2years, head trauma abusive in 45 and </w:t>
            </w:r>
            <w:r w:rsidR="008F32C1" w:rsidRPr="00DF1DEE">
              <w:rPr>
                <w:sz w:val="20"/>
                <w:szCs w:val="20"/>
              </w:rPr>
              <w:t xml:space="preserve">accidental </w:t>
            </w:r>
            <w:r>
              <w:rPr>
                <w:sz w:val="20"/>
                <w:szCs w:val="20"/>
              </w:rPr>
              <w:t xml:space="preserve">in 7. Cases with </w:t>
            </w:r>
            <w:r w:rsidR="008F32C1" w:rsidRPr="00DF1DEE">
              <w:rPr>
                <w:sz w:val="20"/>
                <w:szCs w:val="20"/>
              </w:rPr>
              <w:t>RH</w:t>
            </w:r>
            <w:r>
              <w:rPr>
                <w:sz w:val="20"/>
                <w:szCs w:val="20"/>
              </w:rPr>
              <w:t xml:space="preserve">s present </w:t>
            </w:r>
            <w:r w:rsidRPr="00DF1DEE">
              <w:rPr>
                <w:sz w:val="20"/>
                <w:szCs w:val="20"/>
              </w:rPr>
              <w:t>on</w:t>
            </w:r>
            <w:r w:rsidR="008F32C1" w:rsidRPr="00DF1DEE">
              <w:rPr>
                <w:sz w:val="20"/>
                <w:szCs w:val="20"/>
              </w:rPr>
              <w:t xml:space="preserve"> initial examination with </w:t>
            </w:r>
            <w:r>
              <w:rPr>
                <w:sz w:val="20"/>
                <w:szCs w:val="20"/>
              </w:rPr>
              <w:t>one</w:t>
            </w:r>
            <w:r w:rsidR="008F32C1" w:rsidRPr="00DF1DEE">
              <w:rPr>
                <w:sz w:val="20"/>
                <w:szCs w:val="20"/>
              </w:rPr>
              <w:t xml:space="preserve"> or more follow-up examinations</w:t>
            </w:r>
            <w:r w:rsidR="008F32C1" w:rsidRPr="00DD4347">
              <w:rPr>
                <w:sz w:val="20"/>
                <w:szCs w:val="20"/>
              </w:rPr>
              <w:t xml:space="preserve"> were retrospectively reviewed. </w:t>
            </w:r>
            <w:r w:rsidR="008F32C1" w:rsidRPr="00DF1DE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t</w:t>
            </w:r>
            <w:r w:rsidR="008F32C1" w:rsidRPr="00DF1DEE">
              <w:rPr>
                <w:sz w:val="20"/>
                <w:szCs w:val="20"/>
              </w:rPr>
              <w:t xml:space="preserve">ypes and severity </w:t>
            </w:r>
            <w:r>
              <w:rPr>
                <w:sz w:val="20"/>
                <w:szCs w:val="20"/>
              </w:rPr>
              <w:t xml:space="preserve">of RH were recorded. Numerical categories were </w:t>
            </w:r>
            <w:r w:rsidR="008F32C1" w:rsidRPr="00DF1DEE">
              <w:rPr>
                <w:sz w:val="20"/>
                <w:szCs w:val="20"/>
              </w:rPr>
              <w:t xml:space="preserve">mild 0-10, moderate 10-20, severe &gt;20 RHs, </w:t>
            </w:r>
            <w:r>
              <w:rPr>
                <w:sz w:val="20"/>
                <w:szCs w:val="20"/>
              </w:rPr>
              <w:t>too numerous to count (</w:t>
            </w:r>
            <w:r w:rsidR="008F32C1" w:rsidRPr="00DF1DEE">
              <w:rPr>
                <w:sz w:val="20"/>
                <w:szCs w:val="20"/>
              </w:rPr>
              <w:t>TNTC</w:t>
            </w:r>
            <w:r>
              <w:rPr>
                <w:sz w:val="20"/>
                <w:szCs w:val="20"/>
              </w:rPr>
              <w:t>)</w:t>
            </w:r>
            <w:r w:rsidR="008F32C1" w:rsidRPr="00DF1DEE">
              <w:rPr>
                <w:sz w:val="20"/>
                <w:szCs w:val="20"/>
              </w:rPr>
              <w:t>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Indirect Ophthalmoscopy </w:t>
            </w:r>
            <w:r w:rsidR="00DD4347">
              <w:rPr>
                <w:sz w:val="20"/>
                <w:szCs w:val="20"/>
              </w:rPr>
              <w:t>was performed by a paediatric ophthalmologist.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Data </w:t>
            </w:r>
            <w:r w:rsidR="00DD4347">
              <w:rPr>
                <w:sz w:val="20"/>
                <w:szCs w:val="20"/>
              </w:rPr>
              <w:t xml:space="preserve">was </w:t>
            </w:r>
            <w:r w:rsidRPr="00DF1DEE">
              <w:rPr>
                <w:sz w:val="20"/>
                <w:szCs w:val="20"/>
              </w:rPr>
              <w:t>ext</w:t>
            </w:r>
            <w:r w:rsidR="00DD4347">
              <w:rPr>
                <w:sz w:val="20"/>
                <w:szCs w:val="20"/>
              </w:rPr>
              <w:t>racted from clinical notes</w:t>
            </w:r>
            <w:r w:rsidRPr="00DF1DEE">
              <w:rPr>
                <w:sz w:val="20"/>
                <w:szCs w:val="20"/>
              </w:rPr>
              <w:t xml:space="preserve"> for types, severity, +/- other ocular findings. </w:t>
            </w:r>
            <w:r w:rsidR="00DD4347">
              <w:rPr>
                <w:sz w:val="20"/>
                <w:szCs w:val="20"/>
              </w:rPr>
              <w:t>Subretinal haemorrhage</w:t>
            </w:r>
            <w:r w:rsidRPr="00DF1DEE">
              <w:rPr>
                <w:sz w:val="20"/>
                <w:szCs w:val="20"/>
              </w:rPr>
              <w:t xml:space="preserve"> was inconsistently reported.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After the initial exam</w:t>
            </w:r>
            <w:r w:rsidR="00DD4347">
              <w:rPr>
                <w:sz w:val="20"/>
                <w:szCs w:val="20"/>
              </w:rPr>
              <w:t>ination</w:t>
            </w:r>
            <w:r w:rsidR="00FE2173">
              <w:rPr>
                <w:sz w:val="20"/>
                <w:szCs w:val="20"/>
              </w:rPr>
              <w:t>, re-examination was performed</w:t>
            </w:r>
            <w:r w:rsidRPr="00DF1DEE">
              <w:rPr>
                <w:sz w:val="20"/>
                <w:szCs w:val="20"/>
              </w:rPr>
              <w:t xml:space="preserve"> at 1,2,3,4,6</w:t>
            </w:r>
            <w:r w:rsidR="00FE2173">
              <w:rPr>
                <w:sz w:val="20"/>
                <w:szCs w:val="20"/>
              </w:rPr>
              <w:t xml:space="preserve"> </w:t>
            </w:r>
            <w:r w:rsidRPr="00DF1DEE">
              <w:rPr>
                <w:sz w:val="20"/>
                <w:szCs w:val="20"/>
              </w:rPr>
              <w:t xml:space="preserve">weeks, </w:t>
            </w:r>
            <w:r w:rsidR="00FE2173">
              <w:rPr>
                <w:sz w:val="20"/>
                <w:szCs w:val="20"/>
              </w:rPr>
              <w:t xml:space="preserve">and </w:t>
            </w:r>
            <w:r w:rsidRPr="00DF1DEE">
              <w:rPr>
                <w:sz w:val="20"/>
                <w:szCs w:val="20"/>
              </w:rPr>
              <w:t xml:space="preserve">then </w:t>
            </w:r>
            <w:r w:rsidR="00FE2173">
              <w:rPr>
                <w:sz w:val="20"/>
                <w:szCs w:val="20"/>
              </w:rPr>
              <w:t xml:space="preserve">at </w:t>
            </w:r>
            <w:r w:rsidRPr="00DF1DEE">
              <w:rPr>
                <w:sz w:val="20"/>
                <w:szCs w:val="20"/>
              </w:rPr>
              <w:lastRenderedPageBreak/>
              <w:t>2,3,4months approx</w:t>
            </w:r>
            <w:r w:rsidR="00FE2173">
              <w:rPr>
                <w:sz w:val="20"/>
                <w:szCs w:val="20"/>
              </w:rPr>
              <w:t>imately.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lastRenderedPageBreak/>
              <w:t xml:space="preserve">Studied 91 eyes of 52 children. All 91 eyes had </w:t>
            </w:r>
            <w:r w:rsidR="00FE2173">
              <w:rPr>
                <w:sz w:val="20"/>
                <w:szCs w:val="20"/>
              </w:rPr>
              <w:t>intraretinal haemorrhages (</w:t>
            </w:r>
            <w:r w:rsidRPr="00DF1DEE">
              <w:rPr>
                <w:sz w:val="20"/>
                <w:szCs w:val="20"/>
              </w:rPr>
              <w:t>IRH</w:t>
            </w:r>
            <w:r w:rsidR="00FE2173">
              <w:rPr>
                <w:sz w:val="20"/>
                <w:szCs w:val="20"/>
              </w:rPr>
              <w:t xml:space="preserve">s), </w:t>
            </w:r>
            <w:r w:rsidRPr="00DF1DEE">
              <w:rPr>
                <w:sz w:val="20"/>
                <w:szCs w:val="20"/>
              </w:rPr>
              <w:t>62/91 eyes</w:t>
            </w:r>
            <w:r w:rsidR="00FE2173">
              <w:rPr>
                <w:sz w:val="20"/>
                <w:szCs w:val="20"/>
              </w:rPr>
              <w:t xml:space="preserve"> with TNTC</w:t>
            </w:r>
            <w:r w:rsidRPr="00DF1DEE">
              <w:rPr>
                <w:sz w:val="20"/>
                <w:szCs w:val="20"/>
              </w:rPr>
              <w:t>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In all but 1 eye, IRH resolved to none or mild within 1-2 weeks. </w:t>
            </w:r>
            <w:r w:rsidRPr="00FE2173">
              <w:rPr>
                <w:sz w:val="20"/>
                <w:szCs w:val="20"/>
              </w:rPr>
              <w:t>TNTC IRH</w:t>
            </w:r>
            <w:r w:rsidRPr="00DF1DEE">
              <w:rPr>
                <w:sz w:val="20"/>
                <w:szCs w:val="20"/>
              </w:rPr>
              <w:t xml:space="preserve"> did not persist beyond a few days.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The longest an isolated IRH persisted was 32 days.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PRH was present in 68 (75%) eyes persisting 5-111 days.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On initial examination 25% had only IRH. 75% had PRH and IRH. No eyes had only PRH.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At 2 weeks, 3% had only IRH; 18% </w:t>
            </w:r>
            <w:r w:rsidR="00FE2173">
              <w:rPr>
                <w:sz w:val="20"/>
                <w:szCs w:val="20"/>
              </w:rPr>
              <w:t xml:space="preserve">had </w:t>
            </w:r>
            <w:r w:rsidRPr="00DF1DEE">
              <w:rPr>
                <w:sz w:val="20"/>
                <w:szCs w:val="20"/>
              </w:rPr>
              <w:t xml:space="preserve">both </w:t>
            </w:r>
            <w:r w:rsidR="00FE2173">
              <w:rPr>
                <w:sz w:val="20"/>
                <w:szCs w:val="20"/>
              </w:rPr>
              <w:t xml:space="preserve">IRH and PRH </w:t>
            </w:r>
            <w:r w:rsidRPr="00DF1DEE">
              <w:rPr>
                <w:sz w:val="20"/>
                <w:szCs w:val="20"/>
              </w:rPr>
              <w:t>and 45%</w:t>
            </w:r>
            <w:r w:rsidR="00FE2173">
              <w:rPr>
                <w:sz w:val="20"/>
                <w:szCs w:val="20"/>
              </w:rPr>
              <w:t xml:space="preserve"> had</w:t>
            </w:r>
            <w:r w:rsidRPr="00DF1DEE">
              <w:rPr>
                <w:sz w:val="20"/>
                <w:szCs w:val="20"/>
              </w:rPr>
              <w:t xml:space="preserve"> only PRH. </w:t>
            </w:r>
            <w:r w:rsidRPr="00FE2173">
              <w:rPr>
                <w:sz w:val="20"/>
                <w:szCs w:val="20"/>
              </w:rPr>
              <w:t>In no eyes did RH worsen.</w:t>
            </w: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TNTC </w:t>
            </w:r>
            <w:r w:rsidRPr="00FE2173">
              <w:rPr>
                <w:sz w:val="20"/>
                <w:szCs w:val="20"/>
              </w:rPr>
              <w:t xml:space="preserve">IRHs </w:t>
            </w:r>
            <w:r w:rsidRPr="00DF1DEE">
              <w:rPr>
                <w:sz w:val="20"/>
                <w:szCs w:val="20"/>
              </w:rPr>
              <w:t>were present only on initial examination and were not seen at any subsequ</w:t>
            </w:r>
            <w:r w:rsidR="00FE2173">
              <w:rPr>
                <w:sz w:val="20"/>
                <w:szCs w:val="20"/>
              </w:rPr>
              <w:t>ent examination in any children.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IRH clears rapidly, whereas PRH may persist for many weeks.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The presence of TNTC IRHs indicates that trauma occurred within a few days prior to examination, whereas the presence of PRH with no or few IRHs suggests days to weeks since trauma.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FE2173">
            <w:pPr>
              <w:rPr>
                <w:sz w:val="20"/>
                <w:szCs w:val="20"/>
              </w:rPr>
            </w:pPr>
            <w:proofErr w:type="spellStart"/>
            <w:r w:rsidRPr="00DF1DEE">
              <w:rPr>
                <w:b/>
                <w:sz w:val="20"/>
                <w:szCs w:val="20"/>
              </w:rPr>
              <w:t>Cowley</w:t>
            </w:r>
            <w:proofErr w:type="spellEnd"/>
            <w:r w:rsidRPr="00DF1DEE">
              <w:rPr>
                <w:sz w:val="20"/>
                <w:szCs w:val="20"/>
              </w:rPr>
              <w:t xml:space="preserve"> LA et al 2015. </w:t>
            </w:r>
            <w:proofErr w:type="spellStart"/>
            <w:r w:rsidRPr="00DF1DEE">
              <w:rPr>
                <w:sz w:val="20"/>
                <w:szCs w:val="20"/>
              </w:rPr>
              <w:t>Pediatrics</w:t>
            </w:r>
            <w:proofErr w:type="spellEnd"/>
            <w:r w:rsidR="00A0593C">
              <w:rPr>
                <w:sz w:val="20"/>
                <w:szCs w:val="20"/>
              </w:rPr>
              <w:t xml:space="preserve"> 136 (2);290-298</w:t>
            </w:r>
            <w:r w:rsidR="00FE2173">
              <w:rPr>
                <w:sz w:val="20"/>
                <w:szCs w:val="20"/>
              </w:rPr>
              <w:t>.</w:t>
            </w:r>
            <w:r w:rsidR="00FE2173"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2126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Validation of prediction tool for AHT</w:t>
            </w:r>
          </w:p>
        </w:tc>
        <w:tc>
          <w:tcPr>
            <w:tcW w:w="3119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Children &lt;36 months, Abusive or non-abusive. Details of 6 influential features estimated the likelihood. (RH, rib and long bone fracture, apnoea, seizures, and head or neck bruising) in </w:t>
            </w:r>
            <w:r w:rsidR="00FE2173">
              <w:rPr>
                <w:sz w:val="20"/>
                <w:szCs w:val="20"/>
              </w:rPr>
              <w:t xml:space="preserve">a </w:t>
            </w:r>
            <w:r w:rsidRPr="00DF1DEE">
              <w:rPr>
                <w:sz w:val="20"/>
                <w:szCs w:val="20"/>
              </w:rPr>
              <w:t>child with an intracranial injury.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133 non-AHT and 65 AHT cases.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95% </w:t>
            </w:r>
            <w:r w:rsidR="00FE2173">
              <w:rPr>
                <w:sz w:val="20"/>
                <w:szCs w:val="20"/>
              </w:rPr>
              <w:t xml:space="preserve">children were </w:t>
            </w:r>
            <w:r w:rsidRPr="00DF1DEE">
              <w:rPr>
                <w:sz w:val="20"/>
                <w:szCs w:val="20"/>
              </w:rPr>
              <w:t>less than &lt;24 months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When =&gt; 3 features in a child less than 36 months with intracranial injury, the estimated probability of AHT was 81.5%. Sensitivity of the tool 72.3%; specificity 85.7% and AUC 0.88 </w:t>
            </w: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FE2173">
            <w:pPr>
              <w:rPr>
                <w:sz w:val="20"/>
                <w:szCs w:val="20"/>
              </w:rPr>
            </w:pPr>
            <w:r w:rsidRPr="00DF1DEE">
              <w:rPr>
                <w:b/>
                <w:sz w:val="20"/>
                <w:szCs w:val="20"/>
              </w:rPr>
              <w:t>Hughes</w:t>
            </w:r>
            <w:r w:rsidRPr="00DF1DEE">
              <w:rPr>
                <w:sz w:val="20"/>
                <w:szCs w:val="20"/>
              </w:rPr>
              <w:t xml:space="preserve"> LA et al 2006. JAAPOS; 10:102-106</w:t>
            </w:r>
            <w:r w:rsidR="00FE2173">
              <w:rPr>
                <w:sz w:val="20"/>
                <w:szCs w:val="20"/>
              </w:rPr>
              <w:t>.</w:t>
            </w:r>
            <w:r w:rsidR="00FE2173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Birth related RHs: incidence, distribution and duration</w:t>
            </w:r>
            <w:r w:rsidR="00FE2173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Prospective study. Infants recruited after birth, examined by indirect Ophthalmoscopy on Day 1 (range 1-4 days). </w:t>
            </w:r>
            <w:r w:rsidR="00FE2173">
              <w:rPr>
                <w:sz w:val="20"/>
                <w:szCs w:val="20"/>
              </w:rPr>
              <w:t>I</w:t>
            </w:r>
            <w:r w:rsidRPr="00DF1DEE">
              <w:rPr>
                <w:sz w:val="20"/>
                <w:szCs w:val="20"/>
              </w:rPr>
              <w:t>f positive, photographed using RetCam 120</w:t>
            </w:r>
            <w:r w:rsidRPr="00FE2173">
              <w:rPr>
                <w:sz w:val="20"/>
                <w:szCs w:val="20"/>
                <w:vertAlign w:val="superscript"/>
              </w:rPr>
              <w:t>o</w:t>
            </w:r>
            <w:r w:rsidRPr="00DF1DEE">
              <w:rPr>
                <w:sz w:val="20"/>
                <w:szCs w:val="20"/>
              </w:rPr>
              <w:t>. These positive cases were re-examined between 3 and 9 days, then weekly until resolution, with RetCam if possible.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Data on 53 neonates. All </w:t>
            </w:r>
            <w:r w:rsidR="00FE2173">
              <w:rPr>
                <w:sz w:val="20"/>
                <w:szCs w:val="20"/>
              </w:rPr>
              <w:t>R</w:t>
            </w:r>
            <w:r w:rsidRPr="00DF1DEE">
              <w:rPr>
                <w:sz w:val="20"/>
                <w:szCs w:val="20"/>
              </w:rPr>
              <w:t xml:space="preserve">Hs were intraretinal, and in all but 2 infants, </w:t>
            </w:r>
            <w:r w:rsidR="00FE2173">
              <w:rPr>
                <w:sz w:val="20"/>
                <w:szCs w:val="20"/>
              </w:rPr>
              <w:t>R</w:t>
            </w:r>
            <w:r w:rsidRPr="00DF1DEE">
              <w:rPr>
                <w:sz w:val="20"/>
                <w:szCs w:val="20"/>
              </w:rPr>
              <w:t>Hs had resolved by 16 days (in 2 they were present at 31 and 58 days, and</w:t>
            </w:r>
            <w:r w:rsidR="00FE2173">
              <w:rPr>
                <w:sz w:val="20"/>
                <w:szCs w:val="20"/>
              </w:rPr>
              <w:t xml:space="preserve"> these were delivered by vacuum extraction</w:t>
            </w:r>
            <w:r w:rsidRPr="00DF1DEE">
              <w:rPr>
                <w:sz w:val="20"/>
                <w:szCs w:val="20"/>
              </w:rPr>
              <w:t>)</w:t>
            </w:r>
            <w:r w:rsidR="00FE2173">
              <w:rPr>
                <w:sz w:val="20"/>
                <w:szCs w:val="20"/>
              </w:rPr>
              <w:t>.</w:t>
            </w:r>
          </w:p>
          <w:p w:rsidR="008F32C1" w:rsidRPr="00FE2173" w:rsidRDefault="00FE2173" w:rsidP="00FE2173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color w:val="231F20"/>
                <w:sz w:val="20"/>
                <w:szCs w:val="20"/>
              </w:rPr>
            </w:pPr>
            <w:r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>A</w:t>
            </w:r>
            <w:r w:rsidR="008F32C1" w:rsidRPr="00DF1DEE"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>ll extensive confluent</w:t>
            </w:r>
            <w:r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 xml:space="preserve"> </w:t>
            </w:r>
            <w:r w:rsidR="008F32C1" w:rsidRPr="00DF1DEE"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>h</w:t>
            </w:r>
            <w:r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>a</w:t>
            </w:r>
            <w:r w:rsidR="008F32C1" w:rsidRPr="00DF1DEE"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>emorrhages</w:t>
            </w:r>
            <w:r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 xml:space="preserve"> had resolved by 9 to 17 days. </w:t>
            </w:r>
            <w:r w:rsidR="008F32C1" w:rsidRPr="00DF1DEE"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>Those seen in the first few days were numerous and often 1 disk diameter or larger</w:t>
            </w:r>
            <w:r w:rsidR="00A0593C">
              <w:rPr>
                <w:rFonts w:ascii="JansonText-Roman" w:hAnsi="JansonText-Roman" w:cs="JansonText-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RetCam provides good documentation of natural history</w:t>
            </w:r>
            <w:r w:rsidR="00FE2173">
              <w:rPr>
                <w:sz w:val="20"/>
                <w:szCs w:val="20"/>
              </w:rPr>
              <w:t>.</w:t>
            </w: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2E7A2F">
            <w:pPr>
              <w:rPr>
                <w:b/>
                <w:sz w:val="20"/>
                <w:szCs w:val="20"/>
              </w:rPr>
            </w:pPr>
            <w:r w:rsidRPr="00DF1DEE">
              <w:rPr>
                <w:b/>
                <w:sz w:val="20"/>
                <w:szCs w:val="20"/>
              </w:rPr>
              <w:t xml:space="preserve">Longmuir SQ </w:t>
            </w:r>
            <w:r w:rsidRPr="00DF1DEE">
              <w:rPr>
                <w:sz w:val="20"/>
                <w:szCs w:val="20"/>
              </w:rPr>
              <w:t>et al. 2014 JAAPOS: 18(6) 529-533</w:t>
            </w:r>
            <w:r w:rsidR="002E7A2F">
              <w:rPr>
                <w:sz w:val="20"/>
                <w:szCs w:val="20"/>
              </w:rPr>
              <w:t>.</w:t>
            </w:r>
            <w:r w:rsidR="002E7A2F"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2126" w:type="dxa"/>
          </w:tcPr>
          <w:p w:rsidR="008F32C1" w:rsidRPr="00DF1DEE" w:rsidRDefault="008F32C1" w:rsidP="00246366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Quantitative measurement of RH in suspected child abuse. Retrospective 11 year study reviewing retinal photography</w:t>
            </w:r>
          </w:p>
        </w:tc>
        <w:tc>
          <w:tcPr>
            <w:tcW w:w="3119" w:type="dxa"/>
          </w:tcPr>
          <w:p w:rsidR="00246366" w:rsidRPr="00DF1DEE" w:rsidRDefault="00246366" w:rsidP="0024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F32C1" w:rsidRPr="00DF1DEE">
              <w:rPr>
                <w:sz w:val="20"/>
                <w:szCs w:val="20"/>
              </w:rPr>
              <w:t>aemorrhage-covered percentage of central retinal (posterior pole of 40</w:t>
            </w:r>
            <w:r w:rsidR="008F32C1" w:rsidRPr="00246366">
              <w:rPr>
                <w:sz w:val="20"/>
                <w:szCs w:val="20"/>
                <w:vertAlign w:val="superscript"/>
              </w:rPr>
              <w:t>o</w:t>
            </w:r>
            <w:r w:rsidR="008F32C1" w:rsidRPr="00DF1DEE">
              <w:rPr>
                <w:sz w:val="20"/>
                <w:szCs w:val="20"/>
              </w:rPr>
              <w:t xml:space="preserve"> centred on the fovea), in relation to</w:t>
            </w:r>
            <w:r>
              <w:rPr>
                <w:sz w:val="20"/>
                <w:szCs w:val="20"/>
              </w:rPr>
              <w:t>:</w:t>
            </w:r>
            <w:r w:rsidR="008F32C1" w:rsidRPr="00DF1DEE">
              <w:rPr>
                <w:sz w:val="20"/>
                <w:szCs w:val="20"/>
              </w:rPr>
              <w:t xml:space="preserve"> death, duration of hospital stay, abnormal findings on neuroimaging or skeletal survey, and definite vs</w:t>
            </w:r>
            <w:r>
              <w:rPr>
                <w:sz w:val="20"/>
                <w:szCs w:val="20"/>
              </w:rPr>
              <w:t xml:space="preserve">. possible abuse. Image analysis. The investigator was masked. </w:t>
            </w:r>
            <w:r w:rsidR="008F32C1" w:rsidRPr="00DF1DEE">
              <w:rPr>
                <w:sz w:val="20"/>
                <w:szCs w:val="20"/>
              </w:rPr>
              <w:t>Image</w:t>
            </w:r>
            <w:r>
              <w:rPr>
                <w:sz w:val="20"/>
                <w:szCs w:val="20"/>
              </w:rPr>
              <w:t xml:space="preserve"> J software was </w:t>
            </w:r>
            <w:r>
              <w:rPr>
                <w:sz w:val="20"/>
                <w:szCs w:val="20"/>
              </w:rPr>
              <w:lastRenderedPageBreak/>
              <w:t>used.</w:t>
            </w:r>
            <w:r w:rsidR="008F32C1" w:rsidRPr="00DF1DEE">
              <w:rPr>
                <w:sz w:val="20"/>
                <w:szCs w:val="20"/>
              </w:rPr>
              <w:t xml:space="preserve"> The boundary of each </w:t>
            </w:r>
            <w:r>
              <w:rPr>
                <w:sz w:val="20"/>
                <w:szCs w:val="20"/>
              </w:rPr>
              <w:t>haemorrhage</w:t>
            </w:r>
            <w:r w:rsidR="008F32C1" w:rsidRPr="00DF1DEE">
              <w:rPr>
                <w:sz w:val="20"/>
                <w:szCs w:val="20"/>
              </w:rPr>
              <w:t xml:space="preserve"> was traced, within a 40</w:t>
            </w:r>
            <w:r w:rsidR="008F32C1" w:rsidRPr="00246366">
              <w:rPr>
                <w:sz w:val="20"/>
                <w:szCs w:val="20"/>
                <w:vertAlign w:val="superscript"/>
              </w:rPr>
              <w:t>o</w:t>
            </w:r>
            <w:r w:rsidR="008F32C1" w:rsidRPr="00DF1DEE">
              <w:rPr>
                <w:sz w:val="20"/>
                <w:szCs w:val="20"/>
              </w:rPr>
              <w:t xml:space="preserve"> circle centred fovea, or circle centred on fovea with a diameter of 8 optic-discs. Total surface area of </w:t>
            </w:r>
            <w:r>
              <w:rPr>
                <w:sz w:val="20"/>
                <w:szCs w:val="20"/>
              </w:rPr>
              <w:t xml:space="preserve">haemorrhage was recorded and the haemorrhage-covered fraction </w:t>
            </w:r>
            <w:r w:rsidR="008F32C1" w:rsidRPr="00DF1DEE">
              <w:rPr>
                <w:sz w:val="20"/>
                <w:szCs w:val="20"/>
              </w:rPr>
              <w:t>calculated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lastRenderedPageBreak/>
              <w:t>Significant difference in the RH measurements in patients with axial skeletal fracture, signs of brain trauma on neuroimaging, and definite vs</w:t>
            </w:r>
            <w:r w:rsidR="00246366">
              <w:rPr>
                <w:sz w:val="20"/>
                <w:szCs w:val="20"/>
              </w:rPr>
              <w:t>.</w:t>
            </w:r>
            <w:r w:rsidRPr="00DF1DEE">
              <w:rPr>
                <w:sz w:val="20"/>
                <w:szCs w:val="20"/>
              </w:rPr>
              <w:t xml:space="preserve"> possible abuse.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This measurement correlated with some features of abuse.</w:t>
            </w:r>
          </w:p>
        </w:tc>
      </w:tr>
      <w:tr w:rsidR="008F32C1" w:rsidTr="002E7A2F">
        <w:tc>
          <w:tcPr>
            <w:tcW w:w="1980" w:type="dxa"/>
          </w:tcPr>
          <w:p w:rsidR="00936ADF" w:rsidRPr="00DF1DEE" w:rsidRDefault="008F32C1" w:rsidP="00936ADF">
            <w:pPr>
              <w:rPr>
                <w:sz w:val="20"/>
                <w:szCs w:val="20"/>
              </w:rPr>
            </w:pPr>
            <w:r w:rsidRPr="00DF1DEE">
              <w:rPr>
                <w:b/>
                <w:sz w:val="20"/>
                <w:szCs w:val="20"/>
              </w:rPr>
              <w:t>Takashima</w:t>
            </w:r>
            <w:r w:rsidRPr="00DF1DEE">
              <w:rPr>
                <w:sz w:val="20"/>
                <w:szCs w:val="20"/>
              </w:rPr>
              <w:t xml:space="preserve"> Y et al 2016</w:t>
            </w:r>
            <w:r w:rsidR="00936ADF">
              <w:rPr>
                <w:sz w:val="20"/>
                <w:szCs w:val="20"/>
              </w:rPr>
              <w:t>. J Ophthalmology. 2016.</w:t>
            </w:r>
            <w:r w:rsidR="00936ADF">
              <w:rPr>
                <w:sz w:val="20"/>
                <w:szCs w:val="20"/>
                <w:vertAlign w:val="superscript"/>
              </w:rPr>
              <w:t xml:space="preserve"> 8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Quantifying the size of RH in eyes with retinal venous occlusion.</w:t>
            </w:r>
          </w:p>
        </w:tc>
        <w:tc>
          <w:tcPr>
            <w:tcW w:w="3119" w:type="dxa"/>
          </w:tcPr>
          <w:p w:rsidR="008F32C1" w:rsidRPr="00DF1DEE" w:rsidRDefault="008F32C1" w:rsidP="00936ADF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 xml:space="preserve">35 fundus photographs from 35 consecutive eyes with Branch Retinal Vein </w:t>
            </w:r>
            <w:r w:rsidR="00936ADF" w:rsidRPr="00DF1DEE">
              <w:rPr>
                <w:sz w:val="20"/>
                <w:szCs w:val="20"/>
              </w:rPr>
              <w:t>Occlusion</w:t>
            </w:r>
            <w:r w:rsidR="00936ADF">
              <w:rPr>
                <w:sz w:val="20"/>
                <w:szCs w:val="20"/>
              </w:rPr>
              <w:t xml:space="preserve"> were studied</w:t>
            </w:r>
            <w:r w:rsidRPr="00DF1DEE">
              <w:rPr>
                <w:sz w:val="20"/>
                <w:szCs w:val="20"/>
              </w:rPr>
              <w:t xml:space="preserve">. </w:t>
            </w:r>
            <w:r w:rsidR="00936ADF">
              <w:rPr>
                <w:sz w:val="20"/>
                <w:szCs w:val="20"/>
              </w:rPr>
              <w:t>Images were analysed with PowerP</w:t>
            </w:r>
            <w:r w:rsidRPr="00DF1DEE">
              <w:rPr>
                <w:sz w:val="20"/>
                <w:szCs w:val="20"/>
              </w:rPr>
              <w:t xml:space="preserve">oint software and a grid of 14 squares laid over the fundus image. The </w:t>
            </w:r>
            <w:r w:rsidR="00936ADF">
              <w:rPr>
                <w:sz w:val="20"/>
                <w:szCs w:val="20"/>
              </w:rPr>
              <w:t>percentage</w:t>
            </w:r>
            <w:r w:rsidRPr="00DF1DEE">
              <w:rPr>
                <w:sz w:val="20"/>
                <w:szCs w:val="20"/>
              </w:rPr>
              <w:t xml:space="preserve"> of each of the 14 squares that was covered by </w:t>
            </w:r>
            <w:r w:rsidR="00936ADF">
              <w:rPr>
                <w:sz w:val="20"/>
                <w:szCs w:val="20"/>
              </w:rPr>
              <w:t>haemorrhages</w:t>
            </w:r>
            <w:r w:rsidRPr="00DF1DEE">
              <w:rPr>
                <w:sz w:val="20"/>
                <w:szCs w:val="20"/>
              </w:rPr>
              <w:t xml:space="preserve"> (and the average of the 14) was taken as the relative size of the RH</w:t>
            </w:r>
            <w:r w:rsidR="00936ADF">
              <w:rPr>
                <w:sz w:val="20"/>
                <w:szCs w:val="20"/>
              </w:rPr>
              <w:t>. I</w:t>
            </w:r>
            <w:r w:rsidRPr="00DF1DEE">
              <w:rPr>
                <w:sz w:val="20"/>
                <w:szCs w:val="20"/>
              </w:rPr>
              <w:t>nter-rater reliability and Intra-rater reliability</w:t>
            </w:r>
            <w:r w:rsidR="00936ADF">
              <w:rPr>
                <w:sz w:val="20"/>
                <w:szCs w:val="20"/>
              </w:rPr>
              <w:t xml:space="preserve"> were measured</w:t>
            </w:r>
            <w:r w:rsidRPr="00DF1DE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Subjective. Could be adapted for clinical use.</w:t>
            </w:r>
          </w:p>
        </w:tc>
      </w:tr>
      <w:tr w:rsidR="008F32C1" w:rsidTr="002E7A2F">
        <w:tc>
          <w:tcPr>
            <w:tcW w:w="1980" w:type="dxa"/>
          </w:tcPr>
          <w:p w:rsidR="008F32C1" w:rsidRPr="00DF1DEE" w:rsidRDefault="008F32C1" w:rsidP="00402C3B">
            <w:pPr>
              <w:rPr>
                <w:b/>
                <w:sz w:val="20"/>
                <w:szCs w:val="20"/>
              </w:rPr>
            </w:pPr>
            <w:proofErr w:type="spellStart"/>
            <w:r w:rsidRPr="00DF1DEE">
              <w:rPr>
                <w:b/>
                <w:sz w:val="20"/>
                <w:szCs w:val="20"/>
              </w:rPr>
              <w:t>Betz.P</w:t>
            </w:r>
            <w:proofErr w:type="spellEnd"/>
            <w:r w:rsidRPr="00DF1DEE">
              <w:rPr>
                <w:b/>
                <w:sz w:val="20"/>
                <w:szCs w:val="20"/>
              </w:rPr>
              <w:t xml:space="preserve"> et al </w:t>
            </w:r>
            <w:r w:rsidRPr="00DF1DEE">
              <w:rPr>
                <w:sz w:val="20"/>
                <w:szCs w:val="20"/>
              </w:rPr>
              <w:t>Forensic Science International 1996. 78; 71-80</w:t>
            </w:r>
            <w:r w:rsidR="00402C3B">
              <w:rPr>
                <w:sz w:val="20"/>
                <w:szCs w:val="20"/>
              </w:rPr>
              <w:t>.</w:t>
            </w:r>
            <w:r w:rsidR="00402C3B">
              <w:rPr>
                <w:sz w:val="20"/>
                <w:szCs w:val="20"/>
                <w:vertAlign w:val="superscript"/>
              </w:rPr>
              <w:t xml:space="preserve"> 9</w:t>
            </w:r>
          </w:p>
        </w:tc>
        <w:tc>
          <w:tcPr>
            <w:tcW w:w="2126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Post mortem study, morphometrical analysis of RH</w:t>
            </w:r>
            <w:r w:rsidR="00402C3B">
              <w:rPr>
                <w:sz w:val="20"/>
                <w:szCs w:val="20"/>
              </w:rPr>
              <w:t>s</w:t>
            </w:r>
            <w:r w:rsidRPr="00DF1DEE">
              <w:rPr>
                <w:sz w:val="20"/>
                <w:szCs w:val="20"/>
              </w:rPr>
              <w:t xml:space="preserve"> in cases of physical abuse and controls.</w:t>
            </w:r>
          </w:p>
        </w:tc>
        <w:tc>
          <w:tcPr>
            <w:tcW w:w="3119" w:type="dxa"/>
          </w:tcPr>
          <w:p w:rsidR="008F32C1" w:rsidRPr="00DF1DEE" w:rsidRDefault="00402C3B" w:rsidP="0040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paper is included </w:t>
            </w:r>
            <w:r w:rsidR="008F32C1" w:rsidRPr="00DF1DEE">
              <w:rPr>
                <w:sz w:val="20"/>
                <w:szCs w:val="20"/>
              </w:rPr>
              <w:t xml:space="preserve">to record the methodology of morphometry of RH – after fixation of the eyeballs, sections at the level of the optic nerve were made. The area of the whole retina and the area of the retina showing </w:t>
            </w:r>
            <w:r>
              <w:rPr>
                <w:sz w:val="20"/>
                <w:szCs w:val="20"/>
              </w:rPr>
              <w:t>haemorrhages</w:t>
            </w:r>
            <w:r w:rsidR="008F32C1" w:rsidRPr="00DF1DEE">
              <w:rPr>
                <w:sz w:val="20"/>
                <w:szCs w:val="20"/>
              </w:rPr>
              <w:t xml:space="preserve"> were estimated using a 100-square grid (original size 1cm</w:t>
            </w:r>
            <w:r w:rsidR="008F32C1" w:rsidRPr="00402C3B">
              <w:rPr>
                <w:sz w:val="20"/>
                <w:szCs w:val="20"/>
                <w:vertAlign w:val="superscript"/>
              </w:rPr>
              <w:t>2</w:t>
            </w:r>
            <w:r w:rsidR="008F32C1" w:rsidRPr="00DF1DEE">
              <w:rPr>
                <w:sz w:val="20"/>
                <w:szCs w:val="20"/>
              </w:rPr>
              <w:t xml:space="preserve"> which was localized in the eyepiece of the microscope</w:t>
            </w:r>
            <w:r>
              <w:rPr>
                <w:sz w:val="20"/>
                <w:szCs w:val="20"/>
              </w:rPr>
              <w:t>)</w:t>
            </w:r>
            <w:r w:rsidR="008F32C1" w:rsidRPr="00DF1DE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The extent was different between both groups.</w:t>
            </w:r>
          </w:p>
          <w:p w:rsidR="008F32C1" w:rsidRPr="00DF1DEE" w:rsidRDefault="00172EA8" w:rsidP="00677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physical abuse, </w:t>
            </w:r>
            <w:r w:rsidR="008F32C1" w:rsidRPr="00DF1DEE">
              <w:rPr>
                <w:sz w:val="20"/>
                <w:szCs w:val="20"/>
              </w:rPr>
              <w:t xml:space="preserve">massive RH </w:t>
            </w:r>
            <w:r>
              <w:rPr>
                <w:sz w:val="20"/>
                <w:szCs w:val="20"/>
              </w:rPr>
              <w:t xml:space="preserve">was seen </w:t>
            </w:r>
            <w:r w:rsidR="008F32C1" w:rsidRPr="00DF1DEE">
              <w:rPr>
                <w:sz w:val="20"/>
                <w:szCs w:val="20"/>
              </w:rPr>
              <w:t>in at least 1 eye</w:t>
            </w:r>
            <w:r>
              <w:rPr>
                <w:sz w:val="20"/>
                <w:szCs w:val="20"/>
              </w:rPr>
              <w:t>,</w:t>
            </w:r>
            <w:r w:rsidR="008F32C1" w:rsidRPr="00DF1DEE">
              <w:rPr>
                <w:sz w:val="20"/>
                <w:szCs w:val="20"/>
              </w:rPr>
              <w:t xml:space="preserve"> 19.2</w:t>
            </w:r>
            <w:r w:rsidR="00402C3B">
              <w:rPr>
                <w:sz w:val="20"/>
                <w:szCs w:val="20"/>
              </w:rPr>
              <w:t>%</w:t>
            </w:r>
            <w:r w:rsidR="008F32C1" w:rsidRPr="00DF1DEE">
              <w:rPr>
                <w:sz w:val="20"/>
                <w:szCs w:val="20"/>
              </w:rPr>
              <w:t>-73.2% of the entire retinal area.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Control group 3.3-4.18%.</w:t>
            </w:r>
          </w:p>
          <w:p w:rsidR="008F32C1" w:rsidRPr="00DF1DEE" w:rsidRDefault="008F32C1" w:rsidP="00677417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:rsidR="008F32C1" w:rsidRPr="00DF1DEE" w:rsidRDefault="008F32C1" w:rsidP="00677417">
            <w:pPr>
              <w:rPr>
                <w:sz w:val="20"/>
                <w:szCs w:val="20"/>
              </w:rPr>
            </w:pPr>
            <w:r w:rsidRPr="00DF1DEE">
              <w:rPr>
                <w:sz w:val="20"/>
                <w:szCs w:val="20"/>
              </w:rPr>
              <w:t>Comparison of the extent of the retinal bleeding was the aim of this study. No volum</w:t>
            </w:r>
            <w:r w:rsidR="00402C3B">
              <w:rPr>
                <w:sz w:val="20"/>
                <w:szCs w:val="20"/>
              </w:rPr>
              <w:t xml:space="preserve">e fraction was determined, </w:t>
            </w:r>
            <w:r w:rsidRPr="00DF1DEE">
              <w:rPr>
                <w:sz w:val="20"/>
                <w:szCs w:val="20"/>
              </w:rPr>
              <w:t>though the area fraction is an estimate of this parameter.</w:t>
            </w:r>
          </w:p>
        </w:tc>
      </w:tr>
    </w:tbl>
    <w:p w:rsidR="006171E0" w:rsidRPr="00A206DA" w:rsidRDefault="00A206DA" w:rsidP="006171E0">
      <w:pPr>
        <w:rPr>
          <w:b/>
        </w:rPr>
      </w:pPr>
      <w:r w:rsidRPr="00A206DA">
        <w:rPr>
          <w:b/>
        </w:rPr>
        <w:lastRenderedPageBreak/>
        <w:t xml:space="preserve">References in </w:t>
      </w:r>
      <w:r w:rsidR="006171E0" w:rsidRPr="00A206DA">
        <w:rPr>
          <w:b/>
        </w:rPr>
        <w:t>Table 1</w:t>
      </w:r>
    </w:p>
    <w:p w:rsidR="008F07BC" w:rsidRPr="006171E0" w:rsidRDefault="006171E0" w:rsidP="006171E0">
      <w:pPr>
        <w:pStyle w:val="ListParagraph"/>
        <w:numPr>
          <w:ilvl w:val="0"/>
          <w:numId w:val="1"/>
        </w:numPr>
      </w:pPr>
      <w:r w:rsidRPr="006171E0">
        <w:rPr>
          <w:rFonts w:ascii="Calibri" w:hAnsi="Calibri"/>
          <w:noProof/>
        </w:rPr>
        <w:t>Pierre-Kahn V, Roche O, Dureau P et al.  Ophthalmologic findings in suspected child abuse victims with subdural hematomas. Ophthalmology 2003;110:1718-1723.</w:t>
      </w:r>
    </w:p>
    <w:p w:rsidR="006171E0" w:rsidRPr="00DD4347" w:rsidRDefault="006171E0" w:rsidP="006171E0">
      <w:pPr>
        <w:pStyle w:val="ListParagraph"/>
        <w:numPr>
          <w:ilvl w:val="0"/>
          <w:numId w:val="1"/>
        </w:numPr>
      </w:pPr>
      <w:r>
        <w:rPr>
          <w:rFonts w:ascii="Calibri" w:hAnsi="Calibri"/>
          <w:noProof/>
        </w:rPr>
        <w:t xml:space="preserve">Adams GG, Agrawal S, Sekhri R, at al. Appearance and location of retinal haemorrhages in critically ill children. British Journal of Ophthalmology 2013;97:1138-1142. </w:t>
      </w:r>
    </w:p>
    <w:p w:rsidR="00DD4347" w:rsidRPr="00DD4347" w:rsidRDefault="00DD4347" w:rsidP="006171E0">
      <w:pPr>
        <w:pStyle w:val="ListParagraph"/>
        <w:numPr>
          <w:ilvl w:val="0"/>
          <w:numId w:val="1"/>
        </w:numPr>
      </w:pPr>
      <w:r>
        <w:rPr>
          <w:rFonts w:ascii="Calibri" w:hAnsi="Calibri"/>
          <w:noProof/>
        </w:rPr>
        <w:t>Bhardwaj G, Jacobs MB, Martin FJ et al.  Grading system for retinal hemorrhages in abusive head trauma: clinical description and reliability study. Journal of AAPOS: American Association for Pediatric Ophthalmology &amp; Strabismus 2014;18:523-528.</w:t>
      </w:r>
    </w:p>
    <w:p w:rsidR="00DD4347" w:rsidRPr="00FE2173" w:rsidRDefault="00DD4347" w:rsidP="006171E0">
      <w:pPr>
        <w:pStyle w:val="ListParagraph"/>
        <w:numPr>
          <w:ilvl w:val="0"/>
          <w:numId w:val="1"/>
        </w:numPr>
      </w:pPr>
      <w:r>
        <w:rPr>
          <w:rFonts w:ascii="Calibri" w:hAnsi="Calibri"/>
          <w:noProof/>
        </w:rPr>
        <w:t xml:space="preserve">Binenbaum G, Chen W, Huang J, et al. The natural history of retinal hemorrhage in pediatric head trauma. Journal of AAPOS: American Association for Pediatric Ophthalmology &amp; Strabismus 2016;20:131-135. </w:t>
      </w:r>
    </w:p>
    <w:p w:rsidR="00FE2173" w:rsidRPr="00FE2173" w:rsidRDefault="00FE2173" w:rsidP="006171E0">
      <w:pPr>
        <w:pStyle w:val="ListParagraph"/>
        <w:numPr>
          <w:ilvl w:val="0"/>
          <w:numId w:val="1"/>
        </w:numPr>
      </w:pPr>
      <w:r>
        <w:rPr>
          <w:rFonts w:ascii="Calibri" w:hAnsi="Calibri"/>
          <w:noProof/>
        </w:rPr>
        <w:t xml:space="preserve">Cowley LE, Morris CB, Maguire SA, et al. Validation of a Prediction Tool for Abusive Head Trauma. Pediatrics 2015;136:290-298. </w:t>
      </w:r>
    </w:p>
    <w:p w:rsidR="00FE2173" w:rsidRPr="00111155" w:rsidRDefault="00FE2173" w:rsidP="006171E0">
      <w:pPr>
        <w:pStyle w:val="ListParagraph"/>
        <w:numPr>
          <w:ilvl w:val="0"/>
          <w:numId w:val="1"/>
        </w:numPr>
      </w:pPr>
      <w:r>
        <w:rPr>
          <w:rFonts w:ascii="Calibri" w:hAnsi="Calibri"/>
          <w:noProof/>
        </w:rPr>
        <w:t xml:space="preserve">Hughes LA, May K, Talbot JF, Parsons MA. Incidence, distribution, and duration of birth-related retinal hemorrhages: a prospective study. Journal of Aapos: American Association for Pediatric Ophthalmology &amp; Strabismus 2006;10:102-106. </w:t>
      </w:r>
    </w:p>
    <w:p w:rsidR="002E7A2F" w:rsidRPr="00936ADF" w:rsidRDefault="002E7A2F" w:rsidP="006171E0">
      <w:pPr>
        <w:pStyle w:val="ListParagraph"/>
        <w:numPr>
          <w:ilvl w:val="0"/>
          <w:numId w:val="1"/>
        </w:numPr>
      </w:pPr>
      <w:r>
        <w:rPr>
          <w:rFonts w:ascii="Calibri" w:hAnsi="Calibri"/>
          <w:noProof/>
        </w:rPr>
        <w:t xml:space="preserve">Longmuir SQ, Oral R, Walz AE et al.  Quantitative measurement of retinal hemorrhages in suspected victims </w:t>
      </w:r>
      <w:r w:rsidR="00F2135A">
        <w:rPr>
          <w:rFonts w:ascii="Calibri" w:hAnsi="Calibri"/>
          <w:noProof/>
        </w:rPr>
        <w:t>of child abuse. Journal of AAPOS</w:t>
      </w:r>
      <w:r>
        <w:rPr>
          <w:rFonts w:ascii="Calibri" w:hAnsi="Calibri"/>
          <w:noProof/>
        </w:rPr>
        <w:t>: American Association for Pediatric Ophthalmology &amp; Strabismus 2014;18:529-533.</w:t>
      </w:r>
    </w:p>
    <w:p w:rsidR="00402C3B" w:rsidRPr="00402C3B" w:rsidRDefault="00936ADF" w:rsidP="00402C3B">
      <w:pPr>
        <w:pStyle w:val="ListParagraph"/>
        <w:numPr>
          <w:ilvl w:val="0"/>
          <w:numId w:val="1"/>
        </w:numPr>
      </w:pPr>
      <w:r>
        <w:rPr>
          <w:rFonts w:ascii="Calibri" w:hAnsi="Calibri"/>
          <w:noProof/>
        </w:rPr>
        <w:t>Takashima Y, Sugimoto M, Kato K et al.  Method of Quantifying Size of Retinal Hemorrhages in Eyes with Branch Retinal Vein Occlusion Using 14-Square Grid: Interrater and Intrarater Reliability. J Ophthalmol 2016;2016:1960190</w:t>
      </w:r>
      <w:r w:rsidR="00402C3B">
        <w:rPr>
          <w:rFonts w:ascii="Calibri" w:hAnsi="Calibri"/>
          <w:noProof/>
        </w:rPr>
        <w:t>.</w:t>
      </w:r>
    </w:p>
    <w:p w:rsidR="00402C3B" w:rsidRDefault="00402C3B" w:rsidP="00402C3B">
      <w:pPr>
        <w:pStyle w:val="ListParagraph"/>
        <w:numPr>
          <w:ilvl w:val="0"/>
          <w:numId w:val="1"/>
        </w:numPr>
      </w:pPr>
      <w:r w:rsidRPr="00402C3B">
        <w:rPr>
          <w:rFonts w:ascii="Calibri" w:hAnsi="Calibri"/>
          <w:noProof/>
        </w:rPr>
        <w:t>Betz P, Puschel K, Miltner E, at al. Morphometrical analysis of retinal hemorrhages in the shaken baby syndrome. Forensic Science International 1996;78:71-80.</w:t>
      </w:r>
    </w:p>
    <w:sectPr w:rsidR="00402C3B" w:rsidSect="008F32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872F6"/>
    <w:multiLevelType w:val="hybridMultilevel"/>
    <w:tmpl w:val="B4AA8CA8"/>
    <w:lvl w:ilvl="0" w:tplc="DE9CB1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2C1"/>
    <w:rsid w:val="00111155"/>
    <w:rsid w:val="00172EA8"/>
    <w:rsid w:val="00246366"/>
    <w:rsid w:val="002E7A2F"/>
    <w:rsid w:val="00385C13"/>
    <w:rsid w:val="003B57F5"/>
    <w:rsid w:val="003E77CC"/>
    <w:rsid w:val="00402C3B"/>
    <w:rsid w:val="00552C6C"/>
    <w:rsid w:val="006067FC"/>
    <w:rsid w:val="006171E0"/>
    <w:rsid w:val="00683367"/>
    <w:rsid w:val="007A4E3E"/>
    <w:rsid w:val="008F07BC"/>
    <w:rsid w:val="008F32C1"/>
    <w:rsid w:val="00936ADF"/>
    <w:rsid w:val="00A0593C"/>
    <w:rsid w:val="00A206DA"/>
    <w:rsid w:val="00AB0FA6"/>
    <w:rsid w:val="00C815B2"/>
    <w:rsid w:val="00DD4347"/>
    <w:rsid w:val="00F00FA5"/>
    <w:rsid w:val="00F2135A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5E48"/>
  <w15:docId w15:val="{612F9848-0B10-46C8-B99F-FEF14CF7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2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Fleck</dc:creator>
  <cp:keywords/>
  <dc:description/>
  <cp:lastModifiedBy>Brian Fleck</cp:lastModifiedBy>
  <cp:revision>14</cp:revision>
  <dcterms:created xsi:type="dcterms:W3CDTF">2018-12-18T16:16:00Z</dcterms:created>
  <dcterms:modified xsi:type="dcterms:W3CDTF">2019-03-15T09:32:00Z</dcterms:modified>
</cp:coreProperties>
</file>