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BCA75" w14:textId="2C5B0CC7" w:rsidR="00913342" w:rsidRDefault="00913342" w:rsidP="00913342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Supplementary </w:t>
      </w:r>
      <w:r w:rsidR="00214A1B">
        <w:rPr>
          <w:rFonts w:ascii="Arial" w:hAnsi="Arial" w:cs="Arial"/>
          <w:b/>
          <w:sz w:val="24"/>
        </w:rPr>
        <w:t>Table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. </w:t>
      </w:r>
    </w:p>
    <w:p w14:paraId="1B3B8260" w14:textId="0CC7F482" w:rsidR="00913342" w:rsidRDefault="00913342" w:rsidP="00913342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Results of </w:t>
      </w:r>
      <w:proofErr w:type="spellStart"/>
      <w:r>
        <w:rPr>
          <w:rFonts w:ascii="Arial" w:hAnsi="Arial" w:cs="Arial"/>
          <w:sz w:val="24"/>
          <w:szCs w:val="24"/>
        </w:rPr>
        <w:t>PubMED</w:t>
      </w:r>
      <w:proofErr w:type="spellEnd"/>
      <w:r>
        <w:rPr>
          <w:rFonts w:ascii="Arial" w:hAnsi="Arial" w:cs="Arial"/>
          <w:sz w:val="24"/>
          <w:szCs w:val="24"/>
        </w:rPr>
        <w:t>/MEDLINE</w:t>
      </w:r>
      <w:r w:rsidRPr="0086095B">
        <w:rPr>
          <w:rFonts w:ascii="Arial" w:hAnsi="Arial" w:cs="Arial"/>
          <w:sz w:val="24"/>
          <w:szCs w:val="24"/>
        </w:rPr>
        <w:t xml:space="preserve"> literature review of research publications relating to HSK in 2014, grouped into </w:t>
      </w:r>
      <w:r>
        <w:rPr>
          <w:rFonts w:ascii="Arial" w:hAnsi="Arial" w:cs="Arial"/>
          <w:sz w:val="24"/>
          <w:szCs w:val="24"/>
        </w:rPr>
        <w:t>9</w:t>
      </w:r>
      <w:r w:rsidRPr="0086095B">
        <w:rPr>
          <w:rFonts w:ascii="Arial" w:hAnsi="Arial" w:cs="Arial"/>
          <w:sz w:val="24"/>
          <w:szCs w:val="24"/>
        </w:rPr>
        <w:t xml:space="preserve"> key domains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640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6"/>
        <w:gridCol w:w="2694"/>
      </w:tblGrid>
      <w:tr w:rsidR="00913342" w:rsidRPr="00D0659A" w14:paraId="41BD4FA5" w14:textId="77777777" w:rsidTr="00EC02E2">
        <w:trPr>
          <w:trHeight w:val="227"/>
        </w:trPr>
        <w:tc>
          <w:tcPr>
            <w:tcW w:w="6946" w:type="dxa"/>
            <w:shd w:val="clear" w:color="auto" w:fill="A6A6A6" w:themeFill="background1" w:themeFillShade="A6"/>
          </w:tcPr>
          <w:p w14:paraId="55056794" w14:textId="10A72CDF" w:rsidR="00913342" w:rsidRPr="00D0659A" w:rsidRDefault="00913342" w:rsidP="00EC02E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0659A">
              <w:rPr>
                <w:rFonts w:ascii="Arial" w:hAnsi="Arial" w:cs="Arial"/>
                <w:b/>
                <w:sz w:val="24"/>
                <w:szCs w:val="20"/>
              </w:rPr>
              <w:t>HSK Summary PubMed 2014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4B637647" w14:textId="77777777" w:rsidR="00913342" w:rsidRPr="00D0659A" w:rsidRDefault="00913342" w:rsidP="00EC02E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0659A">
              <w:rPr>
                <w:rFonts w:ascii="Arial" w:hAnsi="Arial" w:cs="Arial"/>
                <w:b/>
                <w:sz w:val="24"/>
                <w:szCs w:val="20"/>
              </w:rPr>
              <w:t>Research Priority</w:t>
            </w:r>
          </w:p>
        </w:tc>
      </w:tr>
      <w:tr w:rsidR="00913342" w:rsidRPr="00D0659A" w14:paraId="4C83B0EA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16A53C38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Trufanov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SV,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Malozhen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SA,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Zaĭtsev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AV. [Lamellar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minikeratoplasty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recurrent herpes keratitis in the late post-LASIK period].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Vestn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Oftalmol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. 2014 Sep-Oct;130(5):60-3. </w:t>
            </w:r>
          </w:p>
          <w:p w14:paraId="5C03EA90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25711064.</w:t>
            </w:r>
          </w:p>
        </w:tc>
        <w:tc>
          <w:tcPr>
            <w:tcW w:w="2694" w:type="dxa"/>
          </w:tcPr>
          <w:p w14:paraId="1D4A7553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3. When there is failure to treat the infection</w:t>
            </w:r>
          </w:p>
        </w:tc>
      </w:tr>
      <w:tr w:rsidR="00913342" w:rsidRPr="00D0659A" w14:paraId="7658E099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7326F0F3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Sun YZ, Guo L, Zhang FS. Curative effect assessment of bandage contact lens in neurogenic keratitis. Int J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Ophthalmol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. 2014 Dec 18;7(6):980-3. </w:t>
            </w:r>
          </w:p>
          <w:p w14:paraId="37F6825B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25540750;</w:t>
            </w:r>
          </w:p>
        </w:tc>
        <w:tc>
          <w:tcPr>
            <w:tcW w:w="2694" w:type="dxa"/>
          </w:tcPr>
          <w:p w14:paraId="06F39C14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6. </w:t>
            </w:r>
            <w:r w:rsidRPr="00D0659A">
              <w:rPr>
                <w:rFonts w:ascii="Arial" w:hAnsi="Arial" w:cs="Arial"/>
                <w:sz w:val="20"/>
                <w:szCs w:val="20"/>
              </w:rPr>
              <w:t>The need for long term treatment</w:t>
            </w:r>
          </w:p>
          <w:p w14:paraId="4AB75586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342" w:rsidRPr="00D0659A" w14:paraId="7911B5F2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4AAD5580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Alekseev O,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Limonnik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V, Donovan K, et al. Activation of</w:t>
            </w:r>
          </w:p>
          <w:p w14:paraId="76B5FC85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checkpoint kinase 2 is critical for herpes simplex virus type 1 replication in corneal epithelium. Ophthalmic Res. 2015;53(2):55-64. </w:t>
            </w:r>
          </w:p>
          <w:p w14:paraId="3EA55F2C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25531207</w:t>
            </w:r>
          </w:p>
        </w:tc>
        <w:tc>
          <w:tcPr>
            <w:tcW w:w="2694" w:type="dxa"/>
          </w:tcPr>
          <w:p w14:paraId="6940E157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7. Risk factors for developing infections</w:t>
            </w:r>
          </w:p>
        </w:tc>
      </w:tr>
      <w:tr w:rsidR="00913342" w:rsidRPr="00D0659A" w14:paraId="11EE88E6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377E01F8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Toriyama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K, Inoue T, Suzuki T, et al. Necrotizing keratitis caused by acyclovir-resistant herpes simplex virus. Case Rep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Ophthalmol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. 2014 Oct</w:t>
            </w:r>
          </w:p>
          <w:p w14:paraId="781E6713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10;5(3):325-8.</w:t>
            </w:r>
          </w:p>
          <w:p w14:paraId="416537E4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25473399</w:t>
            </w:r>
          </w:p>
        </w:tc>
        <w:tc>
          <w:tcPr>
            <w:tcW w:w="2694" w:type="dxa"/>
          </w:tcPr>
          <w:p w14:paraId="631E068F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5. Uncertainties about disease resistance to treatment</w:t>
            </w:r>
          </w:p>
        </w:tc>
      </w:tr>
      <w:tr w:rsidR="00913342" w:rsidRPr="00D0659A" w14:paraId="0CC7FE29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07069715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Park PJ, Chang M, Garg N, et al. Corneal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lymphangiogenesis</w:t>
            </w:r>
            <w:proofErr w:type="spellEnd"/>
          </w:p>
          <w:p w14:paraId="22DEA499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in herpetic stromal keratitis.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Surv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Ophthalmol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. 2015 Jan-Feb;60(1):60-71. </w:t>
            </w:r>
          </w:p>
          <w:p w14:paraId="525D3C40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25444520</w:t>
            </w:r>
          </w:p>
        </w:tc>
        <w:tc>
          <w:tcPr>
            <w:tcW w:w="2694" w:type="dxa"/>
          </w:tcPr>
          <w:p w14:paraId="5DDD45B4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2. How quickly the infection can be treated</w:t>
            </w:r>
          </w:p>
        </w:tc>
      </w:tr>
      <w:tr w:rsidR="00913342" w:rsidRPr="00D0659A" w14:paraId="1E9F557C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6F6E105B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Buela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KA, Hendricks RL. Cornea-infiltrating and lymph node dendritic cells contribute to CD4+ T cell expansion after herpes simplex virus-1 ocular infection. J Immunol. 2015 Jan 1;194(1):379-87. </w:t>
            </w:r>
          </w:p>
          <w:p w14:paraId="6C766C5D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25422507</w:t>
            </w:r>
          </w:p>
        </w:tc>
        <w:tc>
          <w:tcPr>
            <w:tcW w:w="2694" w:type="dxa"/>
          </w:tcPr>
          <w:p w14:paraId="16282EFD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1. Risk Factors for recurrence of infection</w:t>
            </w:r>
          </w:p>
        </w:tc>
      </w:tr>
      <w:tr w:rsidR="00913342" w:rsidRPr="00D0659A" w14:paraId="5A6BC5DA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619F4B04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Gaddipati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S, Estrada K, Rao P, et al. IL-2/anti-IL-2 antibody complex treatment inhibits the development but not the progression of herpetic stromal keratitis. J Immunol. 2015 Jan 1;194(1):273-82. </w:t>
            </w:r>
          </w:p>
          <w:p w14:paraId="370DB18B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25411200</w:t>
            </w:r>
          </w:p>
        </w:tc>
        <w:tc>
          <w:tcPr>
            <w:tcW w:w="2694" w:type="dxa"/>
          </w:tcPr>
          <w:p w14:paraId="2360FA37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7. Risk factors for developing infections</w:t>
            </w:r>
          </w:p>
        </w:tc>
      </w:tr>
      <w:tr w:rsidR="00913342" w:rsidRPr="00D0659A" w14:paraId="4330BFE5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73922D09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Kanellopoulos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AJ,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Asimellis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G. Clinical Correlation between Placido,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Scheimpflug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LED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Reflection Topographies in Imaging of a Scarred Cornea. Case Rep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Ophthalmol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. 2014 Oct 1;5(3):311-7.</w:t>
            </w:r>
          </w:p>
          <w:p w14:paraId="49D6A13D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25408671</w:t>
            </w:r>
          </w:p>
        </w:tc>
        <w:tc>
          <w:tcPr>
            <w:tcW w:w="2694" w:type="dxa"/>
          </w:tcPr>
          <w:p w14:paraId="49F47B73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4. Developing tests to guide our treatment more effectively</w:t>
            </w:r>
          </w:p>
        </w:tc>
      </w:tr>
      <w:tr w:rsidR="00913342" w:rsidRPr="00D0659A" w14:paraId="2B6B6572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403E9B38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Li Z,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Duan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F, Lin L, et al. A new approach of delivering siRNA to the cornea and its application for inhibiting herpes simplex keratitis.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Curr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Mol Med. 2014;14(9):1215-25. </w:t>
            </w:r>
          </w:p>
          <w:p w14:paraId="3CD583D1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PubMed PMID: 25336327.</w:t>
            </w:r>
          </w:p>
        </w:tc>
        <w:tc>
          <w:tcPr>
            <w:tcW w:w="2694" w:type="dxa"/>
          </w:tcPr>
          <w:p w14:paraId="662EC5E9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2. How quickly the infection can be treated</w:t>
            </w:r>
          </w:p>
        </w:tc>
      </w:tr>
      <w:tr w:rsidR="00913342" w:rsidRPr="00D0659A" w14:paraId="53AD2E87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521F8C2C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Seo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Y, Kim MK, Lee JH, et al. Expression of Lymphangiogenic Markers in Rejected Human Corneal Buttons after Penetrating Keratoplasty.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Curr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Eye Res. 2015 Sep;40(9):902-12.</w:t>
            </w:r>
          </w:p>
          <w:p w14:paraId="1F5151F2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25330436.</w:t>
            </w:r>
          </w:p>
        </w:tc>
        <w:tc>
          <w:tcPr>
            <w:tcW w:w="2694" w:type="dxa"/>
          </w:tcPr>
          <w:p w14:paraId="0DC18237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3. When there is failure to treat the infection</w:t>
            </w:r>
          </w:p>
        </w:tc>
      </w:tr>
      <w:tr w:rsidR="00913342" w:rsidRPr="00D0659A" w14:paraId="4E135A58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35DED3E0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Cottrell P, Ahmed S, James C, et al. Neuron J is a rapid and reliable open source tool for evaluating corneal nerve density in herpes simplex keratitis. Invest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Ophthalmol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Vis Sci. 2014 Oct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16;55(11):7312-20</w:t>
            </w:r>
          </w:p>
          <w:p w14:paraId="40730241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25324286.</w:t>
            </w:r>
          </w:p>
        </w:tc>
        <w:tc>
          <w:tcPr>
            <w:tcW w:w="2694" w:type="dxa"/>
          </w:tcPr>
          <w:p w14:paraId="172A5534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4. Developing tests to guide our treatment more effectively</w:t>
            </w:r>
          </w:p>
        </w:tc>
      </w:tr>
      <w:tr w:rsidR="00913342" w:rsidRPr="00D0659A" w14:paraId="582B9EB7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577DD37C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Arora T, Sharma N, Arora S, et al. Fulminant herpetic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keratouveitis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flap necrosis following laser in situ keratomileusis: Case report and review of literature. J Cataract Refract Surg. 2014 Dec;40(12):2152-6</w:t>
            </w:r>
          </w:p>
          <w:p w14:paraId="11271D02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PMID: 25311411.</w:t>
            </w:r>
          </w:p>
        </w:tc>
        <w:tc>
          <w:tcPr>
            <w:tcW w:w="2694" w:type="dxa"/>
          </w:tcPr>
          <w:p w14:paraId="24908ADA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 Risk Factors for recurrence of infection</w:t>
            </w:r>
          </w:p>
        </w:tc>
      </w:tr>
      <w:tr w:rsidR="00913342" w:rsidRPr="00D0659A" w14:paraId="0A0EEA17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1C74C44D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Stanzel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TP, Diaz JD, Mather R, et al. The epidemiology of herpes simplex virus eye disease in Northern California. Ophthalmic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Epidemiol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. 2014 Dec;21(6):370-7</w:t>
            </w:r>
          </w:p>
          <w:p w14:paraId="469B6E14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25299934.</w:t>
            </w:r>
          </w:p>
        </w:tc>
        <w:tc>
          <w:tcPr>
            <w:tcW w:w="2694" w:type="dxa"/>
          </w:tcPr>
          <w:p w14:paraId="53DAC045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7. Risk factors for developing infections</w:t>
            </w:r>
          </w:p>
        </w:tc>
      </w:tr>
      <w:tr w:rsidR="00913342" w:rsidRPr="00D0659A" w14:paraId="4F4D8544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793731B8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Bryant-Hudson KM, Gurung HR, Zheng M, et al.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Tumor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necrosis factor alpha and interleukin-6 facilitate corneal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lymphangiogenesis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in response to herpes simplex virus 1 infection. J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Virol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. 2014 Dec;88(24):14451-7. </w:t>
            </w:r>
          </w:p>
          <w:p w14:paraId="557B56FB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25297992</w:t>
            </w:r>
          </w:p>
        </w:tc>
        <w:tc>
          <w:tcPr>
            <w:tcW w:w="2694" w:type="dxa"/>
          </w:tcPr>
          <w:p w14:paraId="77C4ADD4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2. How quickly the infection can be treated</w:t>
            </w:r>
          </w:p>
        </w:tc>
      </w:tr>
      <w:tr w:rsidR="00913342" w:rsidRPr="00D0659A" w14:paraId="23C13CB1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6BFE673B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Rolinski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J, Hus I. Immunological aspects of acute and recurrent herpes simplex keratitis. J Immunol Res. 2014.</w:t>
            </w:r>
          </w:p>
          <w:p w14:paraId="19CB20FF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25276842</w:t>
            </w:r>
          </w:p>
        </w:tc>
        <w:tc>
          <w:tcPr>
            <w:tcW w:w="2694" w:type="dxa"/>
          </w:tcPr>
          <w:p w14:paraId="20BD931B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1. Risk Factors for recurrence of infection</w:t>
            </w:r>
          </w:p>
        </w:tc>
      </w:tr>
      <w:tr w:rsidR="00913342" w:rsidRPr="00D0659A" w14:paraId="0AE77AA1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47420986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Molesworth-Kenyon SJ, Milam A, Rockette A, et al. Expression, Inducers and Cellular Sources of the Chemokine MIG (CXCL 9), During Primary Herpes Simplex Virus Type-1 Infection of the Cornea.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Curr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Eye Res. 2015;40(8):800-8. </w:t>
            </w:r>
          </w:p>
          <w:p w14:paraId="4B742E80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25207638.</w:t>
            </w:r>
          </w:p>
        </w:tc>
        <w:tc>
          <w:tcPr>
            <w:tcW w:w="2694" w:type="dxa"/>
          </w:tcPr>
          <w:p w14:paraId="4328AFA7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7. Risk factors for developing infections</w:t>
            </w:r>
          </w:p>
        </w:tc>
      </w:tr>
      <w:tr w:rsidR="00913342" w:rsidRPr="00D0659A" w14:paraId="7DB2D5E2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6D58279C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Chou TY, Hong BY. Ganciclovir ophthalmic gel 0.15% for the treatment of acute herpetic keratitis: background, effectiveness, tolerability, safety, and future applications.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Ther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Clin Risk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Manag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. 2014 Aug </w:t>
            </w:r>
            <w:proofErr w:type="gram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20;10:665</w:t>
            </w:r>
            <w:proofErr w:type="gram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-81</w:t>
            </w:r>
          </w:p>
          <w:p w14:paraId="69F4838E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PMID: 25187721</w:t>
            </w:r>
          </w:p>
        </w:tc>
        <w:tc>
          <w:tcPr>
            <w:tcW w:w="2694" w:type="dxa"/>
          </w:tcPr>
          <w:p w14:paraId="6467D066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2. How quickly the infection can be treated</w:t>
            </w:r>
          </w:p>
        </w:tc>
      </w:tr>
      <w:tr w:rsidR="00913342" w:rsidRPr="00D0659A" w14:paraId="7201C9DD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50C43078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Petrera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E,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Níttolo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AG,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Alché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LE. Antiviral action of synthetic stigmasterol derivatives on herpes simplex virus replication in nervous cells in vitro. Biomed Res Int. 2014.</w:t>
            </w:r>
          </w:p>
          <w:p w14:paraId="11843EB1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25147828</w:t>
            </w:r>
          </w:p>
        </w:tc>
        <w:tc>
          <w:tcPr>
            <w:tcW w:w="2694" w:type="dxa"/>
          </w:tcPr>
          <w:p w14:paraId="1965D0A3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2. How quickly the infection can be treated</w:t>
            </w:r>
          </w:p>
        </w:tc>
      </w:tr>
      <w:tr w:rsidR="00913342" w:rsidRPr="00D0659A" w14:paraId="781445F6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49AA1C85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Larrañaga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Fragoso P,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Boto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Los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Bueis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A, Bravo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Ljubetic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L, et al. Herpes Simplex Keratitis in Rheumatoid Arthritis Patients.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Ocul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Immunol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Inflamm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. 2016 Jun;24(3):282-7.</w:t>
            </w:r>
          </w:p>
          <w:p w14:paraId="1E14F043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25140583.</w:t>
            </w:r>
          </w:p>
        </w:tc>
        <w:tc>
          <w:tcPr>
            <w:tcW w:w="2694" w:type="dxa"/>
          </w:tcPr>
          <w:p w14:paraId="2451FAEE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1. Risk Factors for recurrence of infection</w:t>
            </w:r>
          </w:p>
        </w:tc>
      </w:tr>
      <w:tr w:rsidR="00913342" w:rsidRPr="00D0659A" w14:paraId="05D16CB1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3CCCF5D7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Domínguez-López A, Bautista-de Lucio VM,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Serafín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-López J, et al. Amniotic membrane modulates innate immune response inhibiting PRRs expression and NF-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κB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nuclear translocation on limbal myofibroblasts. Exp Eye Res.</w:t>
            </w:r>
          </w:p>
          <w:p w14:paraId="1DFFFC2B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2014 </w:t>
            </w:r>
            <w:proofErr w:type="gram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Oct;127:215</w:t>
            </w:r>
            <w:proofErr w:type="gram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-23. </w:t>
            </w:r>
          </w:p>
          <w:p w14:paraId="0079C6E8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25117451.</w:t>
            </w:r>
          </w:p>
        </w:tc>
        <w:tc>
          <w:tcPr>
            <w:tcW w:w="2694" w:type="dxa"/>
          </w:tcPr>
          <w:p w14:paraId="5AD0581E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3. When there is failure to treat the infection</w:t>
            </w:r>
          </w:p>
        </w:tc>
      </w:tr>
      <w:tr w:rsidR="00913342" w:rsidRPr="00D0659A" w14:paraId="66C8FFA8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4E436F8F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Petrovski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G,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Pasztor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K,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Orosz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L, et al. Herpes simplex virus types 1 and 2 modulate autophagy in SIRC corneal cells. J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Biosci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. 2014 Sep;39(4):683-92. </w:t>
            </w:r>
          </w:p>
          <w:p w14:paraId="0C1B8FB4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25116622.</w:t>
            </w:r>
          </w:p>
        </w:tc>
        <w:tc>
          <w:tcPr>
            <w:tcW w:w="2694" w:type="dxa"/>
          </w:tcPr>
          <w:p w14:paraId="18649C33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7. Risk factors for developing infections</w:t>
            </w:r>
          </w:p>
        </w:tc>
      </w:tr>
      <w:tr w:rsidR="00913342" w:rsidRPr="00D0659A" w14:paraId="033C2F44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4804B389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Paavilainen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H,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Romanovskaya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A,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Nygårdas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M, et al. Innate responses to small interfering RNA pools inhibiting herpes simplex virus infection in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astrocytoid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epithelial cells. Innate Immun. 2015 May;21(4):349-57. </w:t>
            </w:r>
          </w:p>
          <w:p w14:paraId="776870FF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24996409.</w:t>
            </w:r>
          </w:p>
        </w:tc>
        <w:tc>
          <w:tcPr>
            <w:tcW w:w="2694" w:type="dxa"/>
          </w:tcPr>
          <w:p w14:paraId="7CC3EBDB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2. How quickly the infection can be treated</w:t>
            </w:r>
          </w:p>
        </w:tc>
      </w:tr>
      <w:tr w:rsidR="00913342" w:rsidRPr="00D0659A" w14:paraId="40248804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36EDFD2D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Sharma S,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Rajasagi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NK,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Veiga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-Parga T, et al. Herpes virus entry mediator (HVEM) modulates proliferation and activation of regulatory T cells following HSV-1 infection. Microbes Infect. 2014 Aug;16(8):648-60. </w:t>
            </w:r>
          </w:p>
          <w:p w14:paraId="6316670A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24956596.</w:t>
            </w:r>
          </w:p>
        </w:tc>
        <w:tc>
          <w:tcPr>
            <w:tcW w:w="2694" w:type="dxa"/>
          </w:tcPr>
          <w:p w14:paraId="6D7BC43F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2. How quickly the infection can be treated</w:t>
            </w:r>
          </w:p>
        </w:tc>
      </w:tr>
      <w:tr w:rsidR="00913342" w:rsidRPr="00D0659A" w14:paraId="0A913C83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5482E748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Shaibu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AM, Aminu M, Musa BO, et al. Seroprevalence of IgG antibodies to herpes simplex virus type-1 in Nigerian children. Niger J Med. 2014 Jan-Mar;23(1):40-5.</w:t>
            </w:r>
          </w:p>
          <w:p w14:paraId="3CEF893A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24946453.</w:t>
            </w:r>
          </w:p>
        </w:tc>
        <w:tc>
          <w:tcPr>
            <w:tcW w:w="2694" w:type="dxa"/>
          </w:tcPr>
          <w:p w14:paraId="4C704844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7. Risk factors for developing infections</w:t>
            </w:r>
          </w:p>
        </w:tc>
      </w:tr>
      <w:tr w:rsidR="00913342" w:rsidRPr="00D0659A" w14:paraId="3CA46EC2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00CB1EF9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Brown CR, Wagoner MD, Welder JD, et al. Boston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keratoprosthesis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type 1 for herpes simplex and herpes zoster keratopathy. Cornea. 2014 Aug;33(8):801-5. </w:t>
            </w:r>
          </w:p>
          <w:p w14:paraId="0B6FDE79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PMID: 24932767.</w:t>
            </w:r>
          </w:p>
        </w:tc>
        <w:tc>
          <w:tcPr>
            <w:tcW w:w="2694" w:type="dxa"/>
          </w:tcPr>
          <w:p w14:paraId="5DB67B48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 When there is failure to treat the infection</w:t>
            </w:r>
          </w:p>
        </w:tc>
      </w:tr>
      <w:tr w:rsidR="00913342" w:rsidRPr="00D0659A" w14:paraId="5D6233FE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0B39D25C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Reddy PB,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Sehrawat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S,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Suryawanshi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A, et al. An approach to control relapse of inflammatory lesions after discontinuation of primary therapy.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PLoS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One. 2014 May 20;9(5</w:t>
            </w:r>
            <w:proofErr w:type="gram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):e</w:t>
            </w:r>
            <w:proofErr w:type="gram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98051. </w:t>
            </w:r>
          </w:p>
          <w:p w14:paraId="4447CAA5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2484612.</w:t>
            </w:r>
          </w:p>
        </w:tc>
        <w:tc>
          <w:tcPr>
            <w:tcW w:w="2694" w:type="dxa"/>
          </w:tcPr>
          <w:p w14:paraId="1135F0C3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6. The need for long term treatment</w:t>
            </w:r>
          </w:p>
        </w:tc>
      </w:tr>
      <w:tr w:rsidR="00913342" w:rsidRPr="00D0659A" w14:paraId="4FFBDC6E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1B71783C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Matundan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H, Mott KR,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Ghiasi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H. Role of CD8+ T cells and lymphoid dendritic cells in protection from ocular herpes simplex virus 1 challenge in immunized mice. J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Virol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. 2014 Jul;88(14):8016-27.</w:t>
            </w:r>
          </w:p>
          <w:p w14:paraId="6B1E4AEB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24807710</w:t>
            </w:r>
          </w:p>
        </w:tc>
        <w:tc>
          <w:tcPr>
            <w:tcW w:w="2694" w:type="dxa"/>
          </w:tcPr>
          <w:p w14:paraId="042D1143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1. Risk Factors for recurrence of infection</w:t>
            </w:r>
          </w:p>
        </w:tc>
      </w:tr>
      <w:tr w:rsidR="00913342" w:rsidRPr="00D0659A" w14:paraId="2A77937B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0C443E6F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Groupe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bibliographique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SPILF. [Acyclovir resistance of HSV in immunocompetent patients: is prophylaxis incriminated?]. Med Mal Infect. 2014 Mar;44(3):134-5. </w:t>
            </w:r>
          </w:p>
          <w:p w14:paraId="311BCCF7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24804311.</w:t>
            </w:r>
          </w:p>
        </w:tc>
        <w:tc>
          <w:tcPr>
            <w:tcW w:w="2694" w:type="dxa"/>
          </w:tcPr>
          <w:p w14:paraId="1292F2C1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5. Uncertainties about disease resistance to treatment</w:t>
            </w:r>
          </w:p>
        </w:tc>
      </w:tr>
      <w:tr w:rsidR="00913342" w:rsidRPr="00D0659A" w14:paraId="759670AE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4861A675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Yun H, Rowe AM, Lathrop KL, et al. Reversible nerve damage and corneal pathology in murine herpes simplex stromal keratitis. J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Virol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. 2014 Jul;88(14):7870-80.</w:t>
            </w:r>
          </w:p>
          <w:p w14:paraId="653BA8FF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24789786</w:t>
            </w:r>
          </w:p>
        </w:tc>
        <w:tc>
          <w:tcPr>
            <w:tcW w:w="2694" w:type="dxa"/>
          </w:tcPr>
          <w:p w14:paraId="3CCF3E51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2. How quickly the infection can be treated</w:t>
            </w:r>
          </w:p>
        </w:tc>
      </w:tr>
      <w:tr w:rsidR="00913342" w:rsidRPr="00D0659A" w14:paraId="0A42057D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276DB973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Allen SJ, Mott KR,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Ghiasi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H. Inhibitors of signal peptide peptidase (SPP) affect HSV-1 infectivity in vitro and in vivo. Exp Eye Res. 2014 </w:t>
            </w:r>
            <w:proofErr w:type="gram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Jun;123:8</w:t>
            </w:r>
            <w:proofErr w:type="gram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-15. </w:t>
            </w:r>
          </w:p>
          <w:p w14:paraId="37703C88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24768597</w:t>
            </w:r>
          </w:p>
        </w:tc>
        <w:tc>
          <w:tcPr>
            <w:tcW w:w="2694" w:type="dxa"/>
          </w:tcPr>
          <w:p w14:paraId="67CEF962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2. How quickly the infection can be treated</w:t>
            </w:r>
          </w:p>
        </w:tc>
      </w:tr>
      <w:tr w:rsidR="00913342" w:rsidRPr="00D0659A" w14:paraId="1B4394A4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21D93A91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Alekseev O, Donovan K,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Limonnik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V, et al. Nonthermal Dielectric Barrier Discharge (DBD) Plasma Suppresses Herpes Simplex Virus Type 1 (HSV-1) Replication in Corneal Epithelium.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Transl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Vis Sci Technol. 2014 Mar 27;3(2):2.</w:t>
            </w:r>
          </w:p>
          <w:p w14:paraId="25A8A252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24757592</w:t>
            </w:r>
          </w:p>
        </w:tc>
        <w:tc>
          <w:tcPr>
            <w:tcW w:w="2694" w:type="dxa"/>
          </w:tcPr>
          <w:p w14:paraId="5167EEDE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2. How quickly the infection can be treated</w:t>
            </w:r>
          </w:p>
        </w:tc>
      </w:tr>
      <w:tr w:rsidR="00913342" w:rsidRPr="00D0659A" w14:paraId="76BABE9D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0AAA10D4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Kim IJ, Saied AA,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Chouljenko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VN, et al. Functional</w:t>
            </w:r>
          </w:p>
          <w:p w14:paraId="39543FCD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hierarchy of herpes simplex virus type-1 membrane proteins in corneal infection and virus transmission to ganglionic neurons.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Curr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Eye Res. 2014 Dec;39(12):1169-77</w:t>
            </w:r>
          </w:p>
          <w:p w14:paraId="70206A72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24749493.</w:t>
            </w:r>
          </w:p>
        </w:tc>
        <w:tc>
          <w:tcPr>
            <w:tcW w:w="2694" w:type="dxa"/>
          </w:tcPr>
          <w:p w14:paraId="26A0827D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7. Risk factors for developing infections</w:t>
            </w:r>
          </w:p>
        </w:tc>
      </w:tr>
      <w:tr w:rsidR="00913342" w:rsidRPr="00D0659A" w14:paraId="00C25DE8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752F78A1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Sacchetti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M,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Lambiase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A. Diagnosis and management of neurotrophic keratitis. Clin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Ophthalmol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. 2014 Mar </w:t>
            </w:r>
            <w:proofErr w:type="gram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19;8:571</w:t>
            </w:r>
            <w:proofErr w:type="gram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-9</w:t>
            </w:r>
          </w:p>
          <w:p w14:paraId="3933B266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24672223</w:t>
            </w:r>
          </w:p>
        </w:tc>
        <w:tc>
          <w:tcPr>
            <w:tcW w:w="2694" w:type="dxa"/>
          </w:tcPr>
          <w:p w14:paraId="0F4FBAEA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3. When there is failure to treat the infection</w:t>
            </w:r>
          </w:p>
        </w:tc>
      </w:tr>
      <w:tr w:rsidR="00913342" w:rsidRPr="00D0659A" w14:paraId="2F33E3AE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3B9937EB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Sharma A, Mohan K, Sharma R, et al. Alopecia following oral acyclovir for the treatment of herpes simplex keratitis. Middle East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Afr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J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Ophthalmol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. 2014 Jan-Mar;21(1):95-7</w:t>
            </w:r>
          </w:p>
          <w:p w14:paraId="0002F36A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24669156</w:t>
            </w:r>
          </w:p>
        </w:tc>
        <w:tc>
          <w:tcPr>
            <w:tcW w:w="2694" w:type="dxa"/>
          </w:tcPr>
          <w:p w14:paraId="0C40DB90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6. The need for long term treatment</w:t>
            </w:r>
          </w:p>
        </w:tc>
      </w:tr>
      <w:tr w:rsidR="00913342" w:rsidRPr="00D0659A" w14:paraId="0A860D3A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74B24CA4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Allen SJ, Mott KR,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Ghiasi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H. Overexpression of herpes simplex virus glycoprotein K (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gK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) alters expression of HSV receptors in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ocularly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-infected mice. Invest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Ophthalmol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Vis Sci. 2014 Apr 15;55(4):2442-51</w:t>
            </w:r>
          </w:p>
          <w:p w14:paraId="77332CC8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24667863</w:t>
            </w:r>
          </w:p>
        </w:tc>
        <w:tc>
          <w:tcPr>
            <w:tcW w:w="2694" w:type="dxa"/>
          </w:tcPr>
          <w:p w14:paraId="0149E295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7. Risk factors for developing infections</w:t>
            </w:r>
          </w:p>
        </w:tc>
      </w:tr>
      <w:tr w:rsidR="00913342" w:rsidRPr="00D0659A" w14:paraId="4C903507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53B62C28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Thompson RL, Williams RW,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Kotb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M, et al. A forward phenotypically driven unbiased genetic analysis of host genes that moderate herpes simplex virus virulence and stromal kerati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tis in mice.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One. 2014 Mar </w:t>
            </w: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20;9(3</w:t>
            </w:r>
            <w:proofErr w:type="gram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):e</w:t>
            </w:r>
            <w:proofErr w:type="gram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92342. </w:t>
            </w:r>
          </w:p>
          <w:p w14:paraId="0EC8E7D1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24651695</w:t>
            </w:r>
          </w:p>
        </w:tc>
        <w:tc>
          <w:tcPr>
            <w:tcW w:w="2694" w:type="dxa"/>
          </w:tcPr>
          <w:p w14:paraId="4C7200A9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7. Risk factors for developing infections</w:t>
            </w:r>
          </w:p>
        </w:tc>
      </w:tr>
      <w:tr w:rsidR="00913342" w:rsidRPr="00D0659A" w14:paraId="3B13DF0F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534F1B05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Huang J,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Kadonosono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K,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Uchio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E.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Antiadenoviral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effects of ganciclovir in types inducing keratoconjunctivitis by quantitative polymerase chain reaction methods. Clin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Ophthalmol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. 2014 Jan </w:t>
            </w:r>
            <w:proofErr w:type="gram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30;8:315</w:t>
            </w:r>
            <w:proofErr w:type="gram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-20. </w:t>
            </w:r>
          </w:p>
          <w:p w14:paraId="1CCC619D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24511226</w:t>
            </w:r>
          </w:p>
        </w:tc>
        <w:tc>
          <w:tcPr>
            <w:tcW w:w="2694" w:type="dxa"/>
          </w:tcPr>
          <w:p w14:paraId="67C992DC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4. Developing tests to guide our treatment more effectively</w:t>
            </w:r>
          </w:p>
        </w:tc>
      </w:tr>
      <w:tr w:rsidR="00913342" w:rsidRPr="00D0659A" w14:paraId="1E7B3223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046113D3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Knickelbein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JE,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Buela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KA, Hendricks RL. Antigen-presenting cells are stratified within normal human corneas and are rapidly mobilized during ex vivo viral infection. Invest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Ophthalmol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Vis Sci. 2014 Feb 24;55(2):1118-23. </w:t>
            </w:r>
          </w:p>
          <w:p w14:paraId="1B42432C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24508792</w:t>
            </w:r>
          </w:p>
        </w:tc>
        <w:tc>
          <w:tcPr>
            <w:tcW w:w="2694" w:type="dxa"/>
          </w:tcPr>
          <w:p w14:paraId="5817A754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7. Risk factors for developing infections</w:t>
            </w:r>
          </w:p>
        </w:tc>
      </w:tr>
      <w:tr w:rsidR="00913342" w:rsidRPr="00D0659A" w14:paraId="0AB9E10A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773F1C6A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Kinchington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PR. Targeting host pathways to block HSV-1 at the cornea. Invest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Ophthalmol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Vis Sci. 2014 Feb 3;55(2):716.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doi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: 10.1167/iovs.14-13879. </w:t>
            </w:r>
          </w:p>
          <w:p w14:paraId="4B31F516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24492207.</w:t>
            </w:r>
          </w:p>
        </w:tc>
        <w:tc>
          <w:tcPr>
            <w:tcW w:w="2694" w:type="dxa"/>
          </w:tcPr>
          <w:p w14:paraId="56941A18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2. How quickly the infection can be treated</w:t>
            </w:r>
          </w:p>
        </w:tc>
      </w:tr>
      <w:tr w:rsidR="00913342" w:rsidRPr="00D0659A" w14:paraId="36E5E61A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17FAF9B4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Trikha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S, Parikh S, Osmond C, et al. Long-term outcomes of Fine Needle Diathermy for established corneal neovascularisation. Br J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Ophthalmol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. 2014 Apr;98(4):454-8. </w:t>
            </w:r>
          </w:p>
          <w:p w14:paraId="124A234B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24457357.</w:t>
            </w:r>
          </w:p>
        </w:tc>
        <w:tc>
          <w:tcPr>
            <w:tcW w:w="2694" w:type="dxa"/>
          </w:tcPr>
          <w:p w14:paraId="4138B0DD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3. When there is failure to treat the infection</w:t>
            </w:r>
          </w:p>
        </w:tc>
      </w:tr>
      <w:tr w:rsidR="00913342" w:rsidRPr="00D0659A" w14:paraId="5374F9DC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2CB948CA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Tappeiner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C,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Heiligenhaus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A. [Keratitis caused by herpes simplex and varicella zoster virus].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Klin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Monbl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Augenheilkd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. 2014 Jan;231(1):79-93; </w:t>
            </w:r>
          </w:p>
          <w:p w14:paraId="5B2A42F3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24443138</w:t>
            </w:r>
          </w:p>
        </w:tc>
        <w:tc>
          <w:tcPr>
            <w:tcW w:w="2694" w:type="dxa"/>
          </w:tcPr>
          <w:p w14:paraId="7F574EBF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7. Risk factors for developing infections</w:t>
            </w:r>
          </w:p>
        </w:tc>
      </w:tr>
      <w:tr w:rsidR="00913342" w:rsidRPr="00D0659A" w14:paraId="71D08415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49A24C28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West DM, Del Rosso CR, Yin XT, et al. CXCL1 but not IL-6 is required for recurrent herpetic stromal keratitis. J Immunol. 2014 Feb 15;192(4):1762-7. </w:t>
            </w:r>
          </w:p>
          <w:p w14:paraId="72506F33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24442436.</w:t>
            </w:r>
          </w:p>
        </w:tc>
        <w:tc>
          <w:tcPr>
            <w:tcW w:w="2694" w:type="dxa"/>
          </w:tcPr>
          <w:p w14:paraId="12C6DB1C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7. Risk factors for developing infections</w:t>
            </w:r>
          </w:p>
        </w:tc>
      </w:tr>
      <w:tr w:rsidR="00913342" w:rsidRPr="00D0659A" w14:paraId="021FB17D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6767FB55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Li J, Ma H, Zhao Z, et al. Deep anterior lamellar keratoplasty using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precut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anterior lamellar cap for herpes simplex keratitis: a</w:t>
            </w:r>
          </w:p>
          <w:p w14:paraId="1B21E6B0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long-term follow-up study. Br J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Ophthalmol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. 2014 Apr;98(4):448-53. </w:t>
            </w:r>
          </w:p>
          <w:p w14:paraId="7E9BBC9C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24420918.</w:t>
            </w:r>
          </w:p>
        </w:tc>
        <w:tc>
          <w:tcPr>
            <w:tcW w:w="2694" w:type="dxa"/>
          </w:tcPr>
          <w:p w14:paraId="379FA23C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3. When there is failure to treat the infection</w:t>
            </w:r>
          </w:p>
        </w:tc>
      </w:tr>
      <w:tr w:rsidR="00913342" w:rsidRPr="00D0659A" w14:paraId="60BDB354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14E8CC26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Saied AA,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Chouljenko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VN, Subramanian R, et al. A replication competent HSV-1(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McKrae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) with a mutation in the amino-terminus of glycoprotein K (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gK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) is unable to infect mouse trigeminal ganglia after cornea infection.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Curr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Eye Res. 2014 Jun;39(6):596-603.</w:t>
            </w:r>
          </w:p>
          <w:p w14:paraId="41EC8913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24401006.</w:t>
            </w:r>
          </w:p>
        </w:tc>
        <w:tc>
          <w:tcPr>
            <w:tcW w:w="2694" w:type="dxa"/>
          </w:tcPr>
          <w:p w14:paraId="2A538262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7. Risk factors for developing infections</w:t>
            </w:r>
          </w:p>
        </w:tc>
      </w:tr>
      <w:tr w:rsidR="00913342" w:rsidRPr="00D0659A" w14:paraId="027CAFBD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68959387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Borkar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DS, Gonzales JA,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Tham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VM, et al. Association between atopy and herpetic eye disease: results from the </w:t>
            </w:r>
          </w:p>
          <w:p w14:paraId="4D497F1A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pacific ocular inflammation study. JAMA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Ophthalmol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. 2014 Mar;132(3):326-31</w:t>
            </w:r>
          </w:p>
          <w:p w14:paraId="179DF937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24370901.</w:t>
            </w:r>
          </w:p>
        </w:tc>
        <w:tc>
          <w:tcPr>
            <w:tcW w:w="2694" w:type="dxa"/>
          </w:tcPr>
          <w:p w14:paraId="226E749F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7. Risk factors for developing infections</w:t>
            </w:r>
          </w:p>
        </w:tc>
      </w:tr>
      <w:tr w:rsidR="00913342" w:rsidRPr="00D0659A" w14:paraId="20463CF7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046E8D14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Alekseev O, Donovan K,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Azizkhan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-Clifford J. Inhibition of ataxia telangiectasia mutated (ATM) kinase suppresses herpes simplex virus type 1 (HSV-1) keratitis. Invest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Ophthalmol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Vis Sci. 2014 Feb 3;55(2):706-15. </w:t>
            </w:r>
          </w:p>
          <w:p w14:paraId="2026DA36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24370835</w:t>
            </w:r>
          </w:p>
        </w:tc>
        <w:tc>
          <w:tcPr>
            <w:tcW w:w="2694" w:type="dxa"/>
          </w:tcPr>
          <w:p w14:paraId="0D8E1EF4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7. Risk factors for developing infections</w:t>
            </w:r>
          </w:p>
        </w:tc>
      </w:tr>
      <w:tr w:rsidR="00913342" w:rsidRPr="00D0659A" w14:paraId="5A53C86D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419D820C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Cao T, Xing Y, Yang Y, et al. Correlation between matrix metalloproteinase expression and activation of the focal adhesion kinase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signaling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pathway in herpes stromal keratitis. Exp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Ther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Med. 2014 Jan;7(1):280-286.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Epub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2013 Nov 13. </w:t>
            </w:r>
          </w:p>
          <w:p w14:paraId="5292CBEE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24348806.</w:t>
            </w:r>
          </w:p>
        </w:tc>
        <w:tc>
          <w:tcPr>
            <w:tcW w:w="2694" w:type="dxa"/>
          </w:tcPr>
          <w:p w14:paraId="64A64938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7. Risk factors for developing infections</w:t>
            </w:r>
          </w:p>
        </w:tc>
      </w:tr>
      <w:tr w:rsidR="00913342" w:rsidRPr="00D0659A" w14:paraId="479974E6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5B3CEAB1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Xu K, Liu XN, Zhang HB, et al. Replication-defective HSV-1 effectively targets trigeminal ganglion and inhibits viral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pathopoiesis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by mediating interferon gamma expression in SH-SY5Y cells. J Mol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Neurosci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. 2014 May;53(1):78-86. </w:t>
            </w:r>
          </w:p>
          <w:p w14:paraId="4B04741F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24347277.</w:t>
            </w:r>
          </w:p>
        </w:tc>
        <w:tc>
          <w:tcPr>
            <w:tcW w:w="2694" w:type="dxa"/>
          </w:tcPr>
          <w:p w14:paraId="04E7B1B7" w14:textId="77777777" w:rsidR="00913342" w:rsidRPr="00D0659A" w:rsidRDefault="00913342" w:rsidP="00EC02E2">
            <w:pPr>
              <w:rPr>
                <w:rFonts w:ascii="Arial" w:hAnsi="Arial" w:cs="Arial"/>
                <w:sz w:val="20"/>
                <w:szCs w:val="20"/>
              </w:rPr>
            </w:pPr>
            <w:r w:rsidRPr="00D0659A">
              <w:rPr>
                <w:rFonts w:ascii="Arial" w:hAnsi="Arial" w:cs="Arial"/>
                <w:sz w:val="20"/>
                <w:szCs w:val="20"/>
              </w:rPr>
              <w:t>1. Risk Factors for recurrence of infection</w:t>
            </w:r>
          </w:p>
        </w:tc>
      </w:tr>
      <w:tr w:rsidR="00913342" w:rsidRPr="00D0659A" w14:paraId="1F2602D5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652676F7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Vadlapudi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AD,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Cholkar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K,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Vadlapatla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RK, et al. Aqueous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nanomicellar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formulation for topical delivery of biotinylated lipid prodrug of acyclovir: formulation development and ocular biocompatibility. J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Ocul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Pharmacol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Ther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. 2014 Feb;30(1):49-58. </w:t>
            </w:r>
          </w:p>
          <w:p w14:paraId="0FAED2A7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24192229</w:t>
            </w:r>
          </w:p>
        </w:tc>
        <w:tc>
          <w:tcPr>
            <w:tcW w:w="2694" w:type="dxa"/>
          </w:tcPr>
          <w:p w14:paraId="40D3F9E1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6. The need for long term treatment</w:t>
            </w:r>
          </w:p>
        </w:tc>
      </w:tr>
      <w:tr w:rsidR="00913342" w:rsidRPr="00D0659A" w14:paraId="0C1B2914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104773E8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Barrado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L, Suarez MJ, Pérez-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Blázquez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E, et al. Could polymerase chain reaction tests on conjunctival swabs be useful to diagnose herpetic keratitis?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Enferm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Infecc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Microbiol</w:t>
            </w:r>
            <w:proofErr w:type="spellEnd"/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 Clin. 2014 Jan;32(1):28-30. </w:t>
            </w:r>
          </w:p>
          <w:p w14:paraId="20364C8C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24060450.</w:t>
            </w:r>
          </w:p>
        </w:tc>
        <w:tc>
          <w:tcPr>
            <w:tcW w:w="2694" w:type="dxa"/>
          </w:tcPr>
          <w:p w14:paraId="5E23525A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4. Developing tests to guide our treatment more effectively</w:t>
            </w:r>
          </w:p>
        </w:tc>
      </w:tr>
      <w:tr w:rsidR="00913342" w:rsidRPr="00D0659A" w14:paraId="220B3AFD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0903AAB4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Pan D, Kaye SB, Hopkins M, et al. Common and new</w:t>
            </w:r>
          </w:p>
          <w:p w14:paraId="6CB864F9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acyclovir resistant herpes simplex virus-1 mutants causing bilateral recurrent herpetic keratitis in an immunocompetent patient. J Infect Dis. 2014 Feb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1;209(3):345-9. </w:t>
            </w:r>
          </w:p>
          <w:p w14:paraId="79069D63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23945375</w:t>
            </w:r>
          </w:p>
        </w:tc>
        <w:tc>
          <w:tcPr>
            <w:tcW w:w="2694" w:type="dxa"/>
          </w:tcPr>
          <w:p w14:paraId="0DD0E5C4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5. Uncertainties about disease resistance to treatment</w:t>
            </w:r>
          </w:p>
        </w:tc>
      </w:tr>
      <w:tr w:rsidR="00913342" w:rsidRPr="00D0659A" w14:paraId="076B13F2" w14:textId="77777777" w:rsidTr="00EC02E2">
        <w:trPr>
          <w:trHeight w:val="227"/>
        </w:trPr>
        <w:tc>
          <w:tcPr>
            <w:tcW w:w="6946" w:type="dxa"/>
            <w:vAlign w:val="bottom"/>
          </w:tcPr>
          <w:p w14:paraId="23E2CAE3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 xml:space="preserve">Zhao G, Chen H, Song Z, et al. Glial fibrillary acidic protein </w:t>
            </w:r>
          </w:p>
          <w:p w14:paraId="4E8E2B2C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expression during HSV-1 infection in mouse cornea. APMIS. 2014 Feb;122(2):128-35.</w:t>
            </w:r>
          </w:p>
          <w:p w14:paraId="3F1B267A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PMID: 23758602.</w:t>
            </w:r>
          </w:p>
        </w:tc>
        <w:tc>
          <w:tcPr>
            <w:tcW w:w="2694" w:type="dxa"/>
          </w:tcPr>
          <w:p w14:paraId="0F9FFAF4" w14:textId="77777777" w:rsidR="00913342" w:rsidRPr="00D0659A" w:rsidRDefault="00913342" w:rsidP="00EC0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59A">
              <w:rPr>
                <w:rFonts w:ascii="Arial" w:hAnsi="Arial" w:cs="Arial"/>
                <w:color w:val="000000"/>
                <w:sz w:val="20"/>
                <w:szCs w:val="20"/>
              </w:rPr>
              <w:t>7. Risk factors for developing infections</w:t>
            </w:r>
          </w:p>
        </w:tc>
      </w:tr>
      <w:tr w:rsidR="00913342" w:rsidRPr="00D0659A" w14:paraId="67A1044E" w14:textId="77777777" w:rsidTr="00EC02E2">
        <w:trPr>
          <w:trHeight w:val="227"/>
        </w:trPr>
        <w:tc>
          <w:tcPr>
            <w:tcW w:w="6946" w:type="dxa"/>
            <w:shd w:val="clear" w:color="auto" w:fill="A6A6A6" w:themeFill="background1" w:themeFillShade="A6"/>
            <w:vAlign w:val="bottom"/>
          </w:tcPr>
          <w:p w14:paraId="31E8F252" w14:textId="77777777" w:rsidR="00913342" w:rsidRPr="00D0659A" w:rsidRDefault="00913342" w:rsidP="00EC02E2">
            <w:pPr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D0659A">
              <w:rPr>
                <w:rFonts w:ascii="Arial" w:hAnsi="Arial" w:cs="Arial"/>
                <w:b/>
                <w:color w:val="000000"/>
                <w:sz w:val="24"/>
                <w:szCs w:val="20"/>
              </w:rPr>
              <w:t>Total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50A51199" w14:textId="77777777" w:rsidR="00913342" w:rsidRPr="00D0659A" w:rsidRDefault="00913342" w:rsidP="00EC02E2">
            <w:pPr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D0659A">
              <w:rPr>
                <w:rFonts w:ascii="Arial" w:hAnsi="Arial" w:cs="Arial"/>
                <w:b/>
                <w:color w:val="000000"/>
                <w:sz w:val="24"/>
                <w:szCs w:val="20"/>
              </w:rPr>
              <w:t>52</w:t>
            </w:r>
          </w:p>
        </w:tc>
      </w:tr>
    </w:tbl>
    <w:p w14:paraId="272F097E" w14:textId="77777777" w:rsidR="00913342" w:rsidRPr="00AA57E5" w:rsidRDefault="00913342" w:rsidP="00913342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6B5100A" w14:textId="77777777" w:rsidR="00913342" w:rsidRDefault="00913342"/>
    <w:sectPr w:rsidR="00913342" w:rsidSect="00927BFD">
      <w:footerReference w:type="even" r:id="rId6"/>
      <w:footerReference w:type="default" r:id="rId7"/>
      <w:pgSz w:w="11906" w:h="16838"/>
      <w:pgMar w:top="1440" w:right="1440" w:bottom="1440" w:left="1440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9B3EB" w14:textId="77777777" w:rsidR="00674E0E" w:rsidRDefault="00674E0E">
      <w:pPr>
        <w:spacing w:after="0" w:line="240" w:lineRule="auto"/>
      </w:pPr>
      <w:r>
        <w:separator/>
      </w:r>
    </w:p>
  </w:endnote>
  <w:endnote w:type="continuationSeparator" w:id="0">
    <w:p w14:paraId="3526AEDA" w14:textId="77777777" w:rsidR="00674E0E" w:rsidRDefault="0067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BE27E" w14:textId="77777777" w:rsidR="00896EFF" w:rsidRDefault="00913342" w:rsidP="00896E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CCCB2" w14:textId="77777777" w:rsidR="00896EFF" w:rsidRDefault="00674E0E" w:rsidP="00927B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F529" w14:textId="6C53614B" w:rsidR="00896EFF" w:rsidRDefault="00913342" w:rsidP="00896E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A6DC78A" w14:textId="77777777" w:rsidR="00896EFF" w:rsidRDefault="00674E0E" w:rsidP="00927B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A5167" w14:textId="77777777" w:rsidR="00674E0E" w:rsidRDefault="00674E0E">
      <w:pPr>
        <w:spacing w:after="0" w:line="240" w:lineRule="auto"/>
      </w:pPr>
      <w:r>
        <w:separator/>
      </w:r>
    </w:p>
  </w:footnote>
  <w:footnote w:type="continuationSeparator" w:id="0">
    <w:p w14:paraId="151BC0EA" w14:textId="77777777" w:rsidR="00674E0E" w:rsidRDefault="00674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42"/>
    <w:rsid w:val="00214A1B"/>
    <w:rsid w:val="00674E0E"/>
    <w:rsid w:val="009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616C"/>
  <w15:chartTrackingRefBased/>
  <w15:docId w15:val="{F9556914-5770-4E2D-9B82-9A2CC8A2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33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42"/>
  </w:style>
  <w:style w:type="character" w:styleId="PageNumber">
    <w:name w:val="page number"/>
    <w:basedOn w:val="DefaultParagraphFont"/>
    <w:uiPriority w:val="99"/>
    <w:semiHidden/>
    <w:unhideWhenUsed/>
    <w:rsid w:val="00913342"/>
  </w:style>
  <w:style w:type="table" w:styleId="TableGrid">
    <w:name w:val="Table Grid"/>
    <w:basedOn w:val="TableNormal"/>
    <w:uiPriority w:val="39"/>
    <w:rsid w:val="0091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1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Xiaoxuan Liu</dc:creator>
  <cp:keywords/>
  <dc:description/>
  <cp:lastModifiedBy>Xiaoxuan Liu</cp:lastModifiedBy>
  <cp:revision>2</cp:revision>
  <dcterms:created xsi:type="dcterms:W3CDTF">2018-02-15T21:58:00Z</dcterms:created>
  <dcterms:modified xsi:type="dcterms:W3CDTF">2018-09-23T13:03:00Z</dcterms:modified>
</cp:coreProperties>
</file>