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1" w:rsidRPr="00665140" w:rsidRDefault="009A0A41" w:rsidP="009A0A41">
      <w:pPr>
        <w:pStyle w:val="NoSpacing"/>
        <w:spacing w:line="480" w:lineRule="auto"/>
        <w:jc w:val="both"/>
        <w:rPr>
          <w:rFonts w:ascii="Arial" w:hAnsi="Arial" w:cs="Arial"/>
          <w:bCs/>
          <w:color w:val="000000" w:themeColor="text1"/>
        </w:rPr>
      </w:pPr>
      <w:r w:rsidRPr="009A0A41">
        <w:rPr>
          <w:rFonts w:ascii="Arial" w:hAnsi="Arial" w:cs="Arial"/>
          <w:bCs/>
          <w:color w:val="000000" w:themeColor="text1"/>
        </w:rPr>
        <w:t xml:space="preserve">Appendix 2 </w:t>
      </w:r>
      <w:r w:rsidR="0080131D">
        <w:rPr>
          <w:rFonts w:ascii="Arial" w:hAnsi="Arial" w:cs="Arial"/>
          <w:bCs/>
          <w:color w:val="000000" w:themeColor="text1"/>
        </w:rPr>
        <w:t>–</w:t>
      </w:r>
      <w:r w:rsidRPr="009A0A41">
        <w:rPr>
          <w:rFonts w:ascii="Arial" w:hAnsi="Arial" w:cs="Arial"/>
          <w:bCs/>
          <w:color w:val="000000" w:themeColor="text1"/>
        </w:rPr>
        <w:t xml:space="preserve"> </w:t>
      </w:r>
      <w:r w:rsidRPr="00FD381E">
        <w:rPr>
          <w:rFonts w:ascii="Arial" w:hAnsi="Arial" w:cs="Arial"/>
          <w:bCs/>
          <w:color w:val="000000" w:themeColor="text1"/>
        </w:rPr>
        <w:t xml:space="preserve">Referrals to the HES (grouped by disease category) considered inappropriate in urgency. </w:t>
      </w:r>
    </w:p>
    <w:p w:rsidR="009A0A41" w:rsidRDefault="009A0A41"/>
    <w:tbl>
      <w:tblPr>
        <w:tblStyle w:val="LightShading1"/>
        <w:tblW w:w="5000" w:type="pct"/>
        <w:tblLook w:val="06A0"/>
      </w:tblPr>
      <w:tblGrid>
        <w:gridCol w:w="4240"/>
        <w:gridCol w:w="5002"/>
      </w:tblGrid>
      <w:tr w:rsidR="00665140" w:rsidRPr="00FD381E" w:rsidTr="00665140">
        <w:trPr>
          <w:cnfStyle w:val="100000000000"/>
          <w:trHeight w:val="103"/>
        </w:trPr>
        <w:tc>
          <w:tcPr>
            <w:cnfStyle w:val="001000000000"/>
            <w:tcW w:w="2294" w:type="pct"/>
            <w:shd w:val="clear" w:color="auto" w:fill="auto"/>
            <w:noWrap/>
            <w:hideMark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Optometrists’ diagnosis</w:t>
            </w:r>
          </w:p>
        </w:tc>
        <w:tc>
          <w:tcPr>
            <w:tcW w:w="2706" w:type="pct"/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1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HES diagnoses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Diseases of the eyelid</w:t>
            </w:r>
          </w:p>
        </w:tc>
        <w:tc>
          <w:tcPr>
            <w:tcW w:w="2706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Granulation tissue, blepharitis, scleritis*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Diseases of the conjunctiva</w:t>
            </w:r>
          </w:p>
        </w:tc>
        <w:tc>
          <w:tcPr>
            <w:tcW w:w="2706" w:type="pct"/>
            <w:tcBorders>
              <w:top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Cataract, conjunctivitis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  <w:bottom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Disorders of the cornea and sclera</w:t>
            </w:r>
          </w:p>
        </w:tc>
        <w:tc>
          <w:tcPr>
            <w:tcW w:w="2706" w:type="pct"/>
            <w:tcBorders>
              <w:top w:val="nil"/>
              <w:bottom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 xml:space="preserve">Foreign body*, resolved adenoviral conjunctivitis, </w:t>
            </w:r>
            <w:proofErr w:type="spellStart"/>
            <w:r w:rsidRPr="00FD381E">
              <w:rPr>
                <w:rFonts w:ascii="Arial" w:hAnsi="Arial" w:cs="Arial"/>
                <w:color w:val="000000" w:themeColor="text1"/>
              </w:rPr>
              <w:t>meibomitis</w:t>
            </w:r>
            <w:proofErr w:type="spellEnd"/>
            <w:r w:rsidRPr="00FD381E">
              <w:rPr>
                <w:rFonts w:ascii="Arial" w:hAnsi="Arial" w:cs="Arial"/>
                <w:color w:val="000000" w:themeColor="text1"/>
              </w:rPr>
              <w:t xml:space="preserve">, chalazion, dry eyes, </w:t>
            </w:r>
            <w:proofErr w:type="spellStart"/>
            <w:r w:rsidRPr="00FD381E">
              <w:rPr>
                <w:rFonts w:ascii="Arial" w:hAnsi="Arial" w:cs="Arial"/>
                <w:color w:val="000000" w:themeColor="text1"/>
              </w:rPr>
              <w:t>pingueculitis</w:t>
            </w:r>
            <w:proofErr w:type="spellEnd"/>
            <w:r w:rsidRPr="00FD381E">
              <w:rPr>
                <w:rFonts w:ascii="Arial" w:hAnsi="Arial" w:cs="Arial"/>
                <w:color w:val="000000" w:themeColor="text1"/>
              </w:rPr>
              <w:t xml:space="preserve">, bacterial conjunctivitis, episcleritis 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Disorders of the lens</w:t>
            </w:r>
          </w:p>
        </w:tc>
        <w:tc>
          <w:tcPr>
            <w:tcW w:w="2706" w:type="pct"/>
            <w:tcBorders>
              <w:top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Macular scar, senile cataract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  <w:bottom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</w:rPr>
              <w:t>Age-related macular degeneration (AMD)</w:t>
            </w:r>
          </w:p>
        </w:tc>
        <w:tc>
          <w:tcPr>
            <w:tcW w:w="2706" w:type="pct"/>
            <w:tcBorders>
              <w:top w:val="nil"/>
              <w:bottom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bCs/>
                <w:color w:val="000000" w:themeColor="text1"/>
              </w:rPr>
            </w:pPr>
            <w:r w:rsidRPr="00FD381E">
              <w:rPr>
                <w:rFonts w:ascii="Arial" w:hAnsi="Arial" w:cs="Arial"/>
                <w:bCs/>
                <w:color w:val="000000" w:themeColor="text1"/>
              </w:rPr>
              <w:t>Wet AMD, dry AMD, BRAO, PCO, ERM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</w:rPr>
              <w:t>Retinal vascular occlusions</w:t>
            </w:r>
          </w:p>
        </w:tc>
        <w:tc>
          <w:tcPr>
            <w:tcW w:w="2706" w:type="pct"/>
            <w:tcBorders>
              <w:top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BRVO, POAG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  <w:bottom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</w:rPr>
              <w:t>Glaucoma/Ocular hypertension</w:t>
            </w:r>
          </w:p>
        </w:tc>
        <w:tc>
          <w:tcPr>
            <w:tcW w:w="2706" w:type="pct"/>
            <w:tcBorders>
              <w:top w:val="nil"/>
              <w:bottom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Glaucoma, Glaucoma suspect, healthy eyes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Posterior vitreous detachment (PVD)</w:t>
            </w:r>
          </w:p>
        </w:tc>
        <w:tc>
          <w:tcPr>
            <w:tcW w:w="2706" w:type="pct"/>
            <w:tcBorders>
              <w:top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Vitreous Haemorrhage, PVD*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  <w:bottom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</w:rPr>
              <w:t>Retinal haemorrhages</w:t>
            </w:r>
          </w:p>
        </w:tc>
        <w:tc>
          <w:tcPr>
            <w:tcW w:w="2706" w:type="pct"/>
            <w:tcBorders>
              <w:top w:val="nil"/>
              <w:bottom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Retinal vascular disorders, hypertensive retinopathy, PVD, background diabetic retinopathy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  <w:bottom w:val="nil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</w:rPr>
              <w:t>Visual field defect</w:t>
            </w:r>
          </w:p>
        </w:tc>
        <w:tc>
          <w:tcPr>
            <w:tcW w:w="2706" w:type="pct"/>
            <w:tcBorders>
              <w:top w:val="nil"/>
              <w:bottom w:val="nil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Headaches, presbyopia</w:t>
            </w:r>
          </w:p>
        </w:tc>
      </w:tr>
      <w:tr w:rsidR="00665140" w:rsidRPr="00FD381E" w:rsidTr="00665140">
        <w:trPr>
          <w:trHeight w:val="103"/>
        </w:trPr>
        <w:tc>
          <w:tcPr>
            <w:cnfStyle w:val="001000000000"/>
            <w:tcW w:w="229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</w:rPr>
              <w:t>Unexplained vision loss</w:t>
            </w:r>
          </w:p>
        </w:tc>
        <w:tc>
          <w:tcPr>
            <w:tcW w:w="270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665140" w:rsidRPr="00FD381E" w:rsidRDefault="00665140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D381E">
              <w:rPr>
                <w:rFonts w:ascii="Arial" w:hAnsi="Arial" w:cs="Arial"/>
                <w:color w:val="000000" w:themeColor="text1"/>
              </w:rPr>
              <w:t>Dry AMD, Healthy eyes</w:t>
            </w:r>
          </w:p>
        </w:tc>
      </w:tr>
    </w:tbl>
    <w:p w:rsidR="009A0A41" w:rsidRPr="00665140" w:rsidRDefault="009A0A41" w:rsidP="009A0A41">
      <w:pPr>
        <w:pStyle w:val="NoSpacing"/>
        <w:spacing w:line="480" w:lineRule="auto"/>
        <w:jc w:val="both"/>
        <w:rPr>
          <w:rFonts w:ascii="Arial" w:hAnsi="Arial" w:cs="Arial"/>
          <w:bCs/>
          <w:color w:val="000000" w:themeColor="text1"/>
        </w:rPr>
      </w:pPr>
      <w:r w:rsidRPr="00FD381E">
        <w:rPr>
          <w:rFonts w:ascii="Arial" w:hAnsi="Arial" w:cs="Arial"/>
          <w:bCs/>
          <w:color w:val="000000" w:themeColor="text1"/>
        </w:rPr>
        <w:t xml:space="preserve">BRVO: Branch Retinal Vein Occlusion, BRAO: Branch Retinal Artery Occlusion, PCO: Posterior Capsule </w:t>
      </w:r>
      <w:proofErr w:type="spellStart"/>
      <w:r w:rsidRPr="00FD381E">
        <w:rPr>
          <w:rFonts w:ascii="Arial" w:hAnsi="Arial" w:cs="Arial"/>
          <w:bCs/>
          <w:color w:val="000000" w:themeColor="text1"/>
        </w:rPr>
        <w:t>Opacification</w:t>
      </w:r>
      <w:proofErr w:type="spellEnd"/>
      <w:r w:rsidRPr="00FD381E">
        <w:rPr>
          <w:rFonts w:ascii="Arial" w:hAnsi="Arial" w:cs="Arial"/>
          <w:bCs/>
          <w:color w:val="000000" w:themeColor="text1"/>
        </w:rPr>
        <w:t xml:space="preserve">. ERM: </w:t>
      </w:r>
      <w:proofErr w:type="spellStart"/>
      <w:r w:rsidRPr="00FD381E">
        <w:rPr>
          <w:rFonts w:ascii="Arial" w:hAnsi="Arial" w:cs="Arial"/>
          <w:bCs/>
          <w:color w:val="000000" w:themeColor="text1"/>
        </w:rPr>
        <w:t>epi</w:t>
      </w:r>
      <w:proofErr w:type="spellEnd"/>
      <w:r w:rsidRPr="00FD381E">
        <w:rPr>
          <w:rFonts w:ascii="Arial" w:hAnsi="Arial" w:cs="Arial"/>
          <w:bCs/>
          <w:color w:val="000000" w:themeColor="text1"/>
        </w:rPr>
        <w:t>-retinal membrane, POAG: Primary Open Angle Glaucoma. * A total of four patients were referred less urgently than appropriate.</w:t>
      </w:r>
    </w:p>
    <w:p w:rsidR="00EC4D3D" w:rsidRPr="00665140" w:rsidRDefault="00EC4D3D" w:rsidP="009A0A41">
      <w:pPr>
        <w:pStyle w:val="NoSpacing"/>
        <w:spacing w:line="480" w:lineRule="auto"/>
        <w:jc w:val="both"/>
        <w:rPr>
          <w:rFonts w:ascii="Arial" w:hAnsi="Arial" w:cs="Arial"/>
          <w:bCs/>
          <w:color w:val="000000" w:themeColor="text1"/>
        </w:rPr>
      </w:pPr>
    </w:p>
    <w:sectPr w:rsidR="00EC4D3D" w:rsidRPr="00665140" w:rsidSect="00EC4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41" w:rsidRDefault="009A0A41" w:rsidP="009A0A41">
      <w:pPr>
        <w:spacing w:after="0" w:line="240" w:lineRule="auto"/>
      </w:pPr>
      <w:r>
        <w:separator/>
      </w:r>
    </w:p>
  </w:endnote>
  <w:endnote w:type="continuationSeparator" w:id="0">
    <w:p w:rsidR="009A0A41" w:rsidRDefault="009A0A41" w:rsidP="009A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41" w:rsidRDefault="009A0A41" w:rsidP="009A0A41">
      <w:pPr>
        <w:spacing w:after="0" w:line="240" w:lineRule="auto"/>
      </w:pPr>
      <w:r>
        <w:separator/>
      </w:r>
    </w:p>
  </w:footnote>
  <w:footnote w:type="continuationSeparator" w:id="0">
    <w:p w:rsidR="009A0A41" w:rsidRDefault="009A0A41" w:rsidP="009A0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9A5"/>
    <w:rsid w:val="003D5917"/>
    <w:rsid w:val="003E2177"/>
    <w:rsid w:val="00464A49"/>
    <w:rsid w:val="004E49A5"/>
    <w:rsid w:val="005C7A06"/>
    <w:rsid w:val="00665140"/>
    <w:rsid w:val="007B5F01"/>
    <w:rsid w:val="0080131D"/>
    <w:rsid w:val="009A0A41"/>
    <w:rsid w:val="00AC04EC"/>
    <w:rsid w:val="00E34AEF"/>
    <w:rsid w:val="00EC4D3D"/>
    <w:rsid w:val="00F9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E49A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3D591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60"/>
    <w:rsid w:val="00E34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A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A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A0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A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Konstantakopoulou, Evgenia</dc:creator>
  <cp:lastModifiedBy>Konstantakopoulou, Evgenia</cp:lastModifiedBy>
  <cp:revision>4</cp:revision>
  <dcterms:created xsi:type="dcterms:W3CDTF">2017-04-20T13:15:00Z</dcterms:created>
  <dcterms:modified xsi:type="dcterms:W3CDTF">2017-04-20T13:47:00Z</dcterms:modified>
</cp:coreProperties>
</file>