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52" w:rsidRPr="00220E52" w:rsidRDefault="00220E52" w:rsidP="00220E52">
      <w:pPr>
        <w:pStyle w:val="Caption"/>
        <w:spacing w:line="480" w:lineRule="auto"/>
        <w:jc w:val="both"/>
        <w:rPr>
          <w:rFonts w:ascii="Arial" w:hAnsi="Arial" w:cs="Arial"/>
          <w:i w:val="0"/>
          <w:color w:val="000000" w:themeColor="text1"/>
          <w:sz w:val="22"/>
          <w:szCs w:val="22"/>
        </w:rPr>
      </w:pPr>
      <w:r>
        <w:rPr>
          <w:rFonts w:ascii="Arial" w:hAnsi="Arial" w:cs="Arial"/>
          <w:i w:val="0"/>
          <w:color w:val="000000" w:themeColor="text1"/>
          <w:sz w:val="22"/>
          <w:szCs w:val="22"/>
        </w:rPr>
        <w:t>Appendix 1 –</w:t>
      </w:r>
      <w:r w:rsidRPr="00FD381E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 Referrals to the HES that were considered unnecessary according to the ophthalmologists participating in MECS. </w:t>
      </w:r>
    </w:p>
    <w:tbl>
      <w:tblPr>
        <w:tblStyle w:val="LightShading1"/>
        <w:tblW w:w="5000" w:type="pct"/>
        <w:tblLook w:val="06A0"/>
      </w:tblPr>
      <w:tblGrid>
        <w:gridCol w:w="7621"/>
        <w:gridCol w:w="1621"/>
      </w:tblGrid>
      <w:tr w:rsidR="003E2177" w:rsidRPr="00FD381E" w:rsidTr="00A72434">
        <w:trPr>
          <w:cnfStyle w:val="100000000000"/>
          <w:trHeight w:val="103"/>
        </w:trPr>
        <w:tc>
          <w:tcPr>
            <w:cnfStyle w:val="001000000000"/>
            <w:tcW w:w="4123" w:type="pct"/>
            <w:noWrap/>
            <w:hideMark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color w:val="000000" w:themeColor="text1"/>
                <w:lang w:eastAsia="en-GB"/>
              </w:rPr>
              <w:t>Optometrists’ diagnosis</w:t>
            </w:r>
          </w:p>
        </w:tc>
        <w:tc>
          <w:tcPr>
            <w:tcW w:w="877" w:type="pct"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cnfStyle w:val="10000000000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color w:val="000000" w:themeColor="text1"/>
                <w:lang w:eastAsia="en-GB"/>
              </w:rPr>
              <w:t>N</w:t>
            </w:r>
          </w:p>
        </w:tc>
      </w:tr>
      <w:tr w:rsidR="003E2177" w:rsidRPr="00FD381E" w:rsidTr="00A72434">
        <w:trPr>
          <w:trHeight w:val="103"/>
        </w:trPr>
        <w:tc>
          <w:tcPr>
            <w:cnfStyle w:val="001000000000"/>
            <w:tcW w:w="4123" w:type="pct"/>
            <w:noWrap/>
            <w:hideMark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  <w:lang w:eastAsia="en-GB"/>
              </w:rPr>
              <w:t>Refractive error</w:t>
            </w:r>
          </w:p>
        </w:tc>
        <w:tc>
          <w:tcPr>
            <w:tcW w:w="877" w:type="pct"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color w:val="000000" w:themeColor="text1"/>
                <w:lang w:eastAsia="en-GB"/>
              </w:rPr>
              <w:t>1</w:t>
            </w:r>
          </w:p>
        </w:tc>
      </w:tr>
      <w:tr w:rsidR="003E2177" w:rsidRPr="00FD381E" w:rsidTr="00A72434">
        <w:trPr>
          <w:trHeight w:val="103"/>
        </w:trPr>
        <w:tc>
          <w:tcPr>
            <w:cnfStyle w:val="001000000000"/>
            <w:tcW w:w="4123" w:type="pct"/>
            <w:noWrap/>
            <w:hideMark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  <w:lang w:eastAsia="en-GB"/>
              </w:rPr>
              <w:t xml:space="preserve">Eyelid and/or </w:t>
            </w:r>
            <w:proofErr w:type="spellStart"/>
            <w:r w:rsidRPr="00FD381E">
              <w:rPr>
                <w:rFonts w:ascii="Arial" w:hAnsi="Arial" w:cs="Arial"/>
                <w:b w:val="0"/>
                <w:color w:val="000000" w:themeColor="text1"/>
                <w:lang w:eastAsia="en-GB"/>
              </w:rPr>
              <w:t>lacrimal</w:t>
            </w:r>
            <w:proofErr w:type="spellEnd"/>
            <w:r w:rsidRPr="00FD381E">
              <w:rPr>
                <w:rFonts w:ascii="Arial" w:hAnsi="Arial" w:cs="Arial"/>
                <w:b w:val="0"/>
                <w:color w:val="000000" w:themeColor="text1"/>
                <w:lang w:eastAsia="en-GB"/>
              </w:rPr>
              <w:t xml:space="preserve"> system disorders</w:t>
            </w:r>
          </w:p>
        </w:tc>
        <w:tc>
          <w:tcPr>
            <w:tcW w:w="877" w:type="pct"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color w:val="000000" w:themeColor="text1"/>
                <w:lang w:eastAsia="en-GB"/>
              </w:rPr>
              <w:t>4</w:t>
            </w:r>
          </w:p>
        </w:tc>
      </w:tr>
      <w:tr w:rsidR="003E2177" w:rsidRPr="00FD381E" w:rsidTr="00A72434">
        <w:trPr>
          <w:trHeight w:val="103"/>
        </w:trPr>
        <w:tc>
          <w:tcPr>
            <w:cnfStyle w:val="001000000000"/>
            <w:tcW w:w="4123" w:type="pct"/>
            <w:noWrap/>
            <w:hideMark/>
          </w:tcPr>
          <w:p w:rsidR="003E2177" w:rsidRPr="00FD381E" w:rsidRDefault="003E2177" w:rsidP="00A72434">
            <w:pPr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  <w:lang w:eastAsia="en-GB"/>
              </w:rPr>
              <w:t>Diseases of the conjunctiva</w:t>
            </w:r>
          </w:p>
        </w:tc>
        <w:tc>
          <w:tcPr>
            <w:tcW w:w="877" w:type="pct"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color w:val="000000" w:themeColor="text1"/>
                <w:lang w:eastAsia="en-GB"/>
              </w:rPr>
              <w:t>1</w:t>
            </w:r>
          </w:p>
        </w:tc>
      </w:tr>
      <w:tr w:rsidR="003E2177" w:rsidRPr="00FD381E" w:rsidTr="00A72434">
        <w:trPr>
          <w:trHeight w:val="103"/>
        </w:trPr>
        <w:tc>
          <w:tcPr>
            <w:cnfStyle w:val="001000000000"/>
            <w:tcW w:w="4123" w:type="pct"/>
            <w:noWrap/>
            <w:hideMark/>
          </w:tcPr>
          <w:p w:rsidR="003E2177" w:rsidRPr="00FD381E" w:rsidRDefault="003E2177" w:rsidP="00A72434">
            <w:pPr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  <w:lang w:eastAsia="en-GB"/>
              </w:rPr>
              <w:t>Disorders of the cornea and sclera</w:t>
            </w:r>
          </w:p>
        </w:tc>
        <w:tc>
          <w:tcPr>
            <w:tcW w:w="877" w:type="pct"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color w:val="000000" w:themeColor="text1"/>
                <w:lang w:eastAsia="en-GB"/>
              </w:rPr>
              <w:t>3</w:t>
            </w:r>
          </w:p>
        </w:tc>
      </w:tr>
      <w:tr w:rsidR="003E2177" w:rsidRPr="00FD381E" w:rsidTr="00A72434">
        <w:trPr>
          <w:trHeight w:val="103"/>
        </w:trPr>
        <w:tc>
          <w:tcPr>
            <w:cnfStyle w:val="001000000000"/>
            <w:tcW w:w="4123" w:type="pct"/>
            <w:noWrap/>
            <w:hideMark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  <w:lang w:eastAsia="en-GB"/>
              </w:rPr>
              <w:t>Pupil anomalies</w:t>
            </w:r>
          </w:p>
        </w:tc>
        <w:tc>
          <w:tcPr>
            <w:tcW w:w="877" w:type="pct"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color w:val="000000" w:themeColor="text1"/>
                <w:lang w:eastAsia="en-GB"/>
              </w:rPr>
              <w:t>2</w:t>
            </w:r>
          </w:p>
        </w:tc>
      </w:tr>
      <w:tr w:rsidR="003E2177" w:rsidRPr="00FD381E" w:rsidTr="00A72434">
        <w:trPr>
          <w:trHeight w:val="103"/>
        </w:trPr>
        <w:tc>
          <w:tcPr>
            <w:cnfStyle w:val="001000000000"/>
            <w:tcW w:w="4123" w:type="pct"/>
            <w:noWrap/>
            <w:hideMark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  <w:lang w:eastAsia="en-GB"/>
              </w:rPr>
              <w:t>Narrow anterior chamber angle</w:t>
            </w:r>
          </w:p>
        </w:tc>
        <w:tc>
          <w:tcPr>
            <w:tcW w:w="877" w:type="pct"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color w:val="000000" w:themeColor="text1"/>
                <w:lang w:eastAsia="en-GB"/>
              </w:rPr>
              <w:t>1</w:t>
            </w:r>
          </w:p>
        </w:tc>
      </w:tr>
      <w:tr w:rsidR="003E2177" w:rsidRPr="00FD381E" w:rsidTr="00A72434">
        <w:trPr>
          <w:trHeight w:val="103"/>
        </w:trPr>
        <w:tc>
          <w:tcPr>
            <w:cnfStyle w:val="001000000000"/>
            <w:tcW w:w="4123" w:type="pct"/>
            <w:noWrap/>
            <w:hideMark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  <w:lang w:eastAsia="en-GB"/>
              </w:rPr>
              <w:t>Posterior vitreous detachment</w:t>
            </w:r>
          </w:p>
        </w:tc>
        <w:tc>
          <w:tcPr>
            <w:tcW w:w="877" w:type="pct"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color w:val="000000" w:themeColor="text1"/>
                <w:lang w:eastAsia="en-GB"/>
              </w:rPr>
              <w:t>6</w:t>
            </w:r>
          </w:p>
        </w:tc>
      </w:tr>
      <w:tr w:rsidR="003E2177" w:rsidRPr="00FD381E" w:rsidTr="00A72434">
        <w:trPr>
          <w:trHeight w:val="103"/>
        </w:trPr>
        <w:tc>
          <w:tcPr>
            <w:cnfStyle w:val="001000000000"/>
            <w:tcW w:w="4123" w:type="pct"/>
            <w:noWrap/>
            <w:hideMark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  <w:lang w:eastAsia="en-GB"/>
              </w:rPr>
              <w:t>Age-related macular degeneration</w:t>
            </w:r>
          </w:p>
        </w:tc>
        <w:tc>
          <w:tcPr>
            <w:tcW w:w="877" w:type="pct"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color w:val="000000" w:themeColor="text1"/>
                <w:lang w:eastAsia="en-GB"/>
              </w:rPr>
              <w:t>3</w:t>
            </w:r>
          </w:p>
        </w:tc>
      </w:tr>
      <w:tr w:rsidR="003E2177" w:rsidRPr="00FD381E" w:rsidTr="00A72434">
        <w:trPr>
          <w:trHeight w:val="103"/>
        </w:trPr>
        <w:tc>
          <w:tcPr>
            <w:cnfStyle w:val="001000000000"/>
            <w:tcW w:w="4123" w:type="pct"/>
            <w:noWrap/>
            <w:hideMark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  <w:lang w:eastAsia="en-GB"/>
              </w:rPr>
              <w:t>Retinal lesions (not retinal detachment)</w:t>
            </w:r>
          </w:p>
        </w:tc>
        <w:tc>
          <w:tcPr>
            <w:tcW w:w="877" w:type="pct"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color w:val="000000" w:themeColor="text1"/>
                <w:lang w:eastAsia="en-GB"/>
              </w:rPr>
              <w:t>1</w:t>
            </w:r>
          </w:p>
        </w:tc>
      </w:tr>
      <w:tr w:rsidR="003E2177" w:rsidRPr="00FD381E" w:rsidTr="00A72434">
        <w:trPr>
          <w:trHeight w:val="103"/>
        </w:trPr>
        <w:tc>
          <w:tcPr>
            <w:cnfStyle w:val="001000000000"/>
            <w:tcW w:w="4123" w:type="pct"/>
            <w:noWrap/>
            <w:hideMark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  <w:lang w:eastAsia="en-GB"/>
              </w:rPr>
              <w:t>Disorders of optic nerve and visual pathway (non-glaucomatous)</w:t>
            </w:r>
          </w:p>
        </w:tc>
        <w:tc>
          <w:tcPr>
            <w:tcW w:w="877" w:type="pct"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color w:val="000000" w:themeColor="text1"/>
                <w:lang w:eastAsia="en-GB"/>
              </w:rPr>
              <w:t>2</w:t>
            </w:r>
          </w:p>
        </w:tc>
      </w:tr>
      <w:tr w:rsidR="003E2177" w:rsidRPr="00FD381E" w:rsidTr="00A72434">
        <w:trPr>
          <w:trHeight w:val="103"/>
        </w:trPr>
        <w:tc>
          <w:tcPr>
            <w:cnfStyle w:val="001000000000"/>
            <w:tcW w:w="4123" w:type="pct"/>
            <w:noWrap/>
            <w:hideMark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rPr>
                <w:rFonts w:ascii="Arial" w:hAnsi="Arial" w:cs="Arial"/>
                <w:b w:val="0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b w:val="0"/>
                <w:color w:val="000000" w:themeColor="text1"/>
                <w:lang w:eastAsia="en-GB"/>
              </w:rPr>
              <w:t>Unexplained vision loss</w:t>
            </w:r>
          </w:p>
        </w:tc>
        <w:tc>
          <w:tcPr>
            <w:tcW w:w="877" w:type="pct"/>
          </w:tcPr>
          <w:p w:rsidR="003E2177" w:rsidRPr="00FD381E" w:rsidRDefault="003E2177" w:rsidP="00A72434">
            <w:pPr>
              <w:pStyle w:val="NoSpacing"/>
              <w:spacing w:line="480" w:lineRule="auto"/>
              <w:jc w:val="both"/>
              <w:cnfStyle w:val="000000000000"/>
              <w:rPr>
                <w:rFonts w:ascii="Arial" w:hAnsi="Arial" w:cs="Arial"/>
                <w:color w:val="000000" w:themeColor="text1"/>
                <w:lang w:eastAsia="en-GB"/>
              </w:rPr>
            </w:pPr>
            <w:r w:rsidRPr="00FD381E">
              <w:rPr>
                <w:rFonts w:ascii="Arial" w:hAnsi="Arial" w:cs="Arial"/>
                <w:color w:val="000000" w:themeColor="text1"/>
                <w:lang w:eastAsia="en-GB"/>
              </w:rPr>
              <w:t>2</w:t>
            </w:r>
          </w:p>
        </w:tc>
      </w:tr>
    </w:tbl>
    <w:p w:rsidR="00EC4D3D" w:rsidRPr="003E2177" w:rsidRDefault="00EC4D3D" w:rsidP="003E2177"/>
    <w:sectPr w:rsidR="00EC4D3D" w:rsidRPr="003E2177" w:rsidSect="00EC4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9A5"/>
    <w:rsid w:val="00220E52"/>
    <w:rsid w:val="003D5917"/>
    <w:rsid w:val="003E2177"/>
    <w:rsid w:val="004E49A5"/>
    <w:rsid w:val="007B5F01"/>
    <w:rsid w:val="007D5AB1"/>
    <w:rsid w:val="00AC04EC"/>
    <w:rsid w:val="00E34AEF"/>
    <w:rsid w:val="00EC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E49A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Spacing">
    <w:name w:val="No Spacing"/>
    <w:uiPriority w:val="1"/>
    <w:qFormat/>
    <w:rsid w:val="003D5917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LightShading1">
    <w:name w:val="Light Shading1"/>
    <w:basedOn w:val="TableNormal"/>
    <w:uiPriority w:val="60"/>
    <w:rsid w:val="00E34A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Konstantakopoulou, Evgenia</dc:creator>
  <cp:lastModifiedBy>Konstantakopoulou, Evgenia</cp:lastModifiedBy>
  <cp:revision>3</cp:revision>
  <dcterms:created xsi:type="dcterms:W3CDTF">2017-04-20T13:15:00Z</dcterms:created>
  <dcterms:modified xsi:type="dcterms:W3CDTF">2017-04-20T13:46:00Z</dcterms:modified>
</cp:coreProperties>
</file>