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4D353" w14:textId="77777777" w:rsidR="00A736C8" w:rsidRDefault="00A736C8" w:rsidP="00157A23">
      <w:pPr>
        <w:spacing w:after="0"/>
        <w:rPr>
          <w:b/>
        </w:rPr>
      </w:pPr>
    </w:p>
    <w:p w14:paraId="3C01959B" w14:textId="77777777" w:rsidR="005D2B23" w:rsidRPr="00157A23" w:rsidRDefault="005D2B23" w:rsidP="005D2B23">
      <w:pPr>
        <w:pStyle w:val="Caption"/>
        <w:spacing w:after="0" w:line="276" w:lineRule="auto"/>
        <w:rPr>
          <w:rFonts w:asciiTheme="minorHAnsi" w:hAnsiTheme="minorHAnsi" w:cs="Times New Roman"/>
          <w:sz w:val="22"/>
          <w:szCs w:val="22"/>
        </w:rPr>
      </w:pPr>
      <w:r w:rsidRPr="00157A23">
        <w:rPr>
          <w:rFonts w:asciiTheme="minorHAnsi" w:hAnsiTheme="minorHAnsi" w:cs="Times New Roman"/>
          <w:bCs w:val="0"/>
          <w:noProof/>
          <w:sz w:val="22"/>
          <w:szCs w:val="22"/>
          <w:lang w:eastAsia="en-GB"/>
        </w:rPr>
        <w:drawing>
          <wp:inline distT="0" distB="0" distL="0" distR="0" wp14:anchorId="4E36CC10" wp14:editId="273F6026">
            <wp:extent cx="8857397" cy="5629701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A23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2B8A342" w14:textId="347107CD" w:rsidR="005D2B23" w:rsidRDefault="005D2B23" w:rsidP="00F042EC">
      <w:pPr>
        <w:pStyle w:val="Caption"/>
        <w:spacing w:after="0" w:line="276" w:lineRule="auto"/>
        <w:rPr>
          <w:rFonts w:cs="Times New Roman"/>
          <w:bCs w:val="0"/>
        </w:rPr>
      </w:pPr>
      <w:bookmarkStart w:id="0" w:name="_Ref383112237"/>
      <w:bookmarkStart w:id="1" w:name="_Toc383603682"/>
      <w:r>
        <w:rPr>
          <w:rFonts w:asciiTheme="minorHAnsi" w:hAnsiTheme="minorHAnsi"/>
          <w:sz w:val="22"/>
          <w:szCs w:val="22"/>
        </w:rPr>
        <w:t xml:space="preserve">Appendix: </w:t>
      </w:r>
      <w:r w:rsidRPr="00157A23">
        <w:rPr>
          <w:rFonts w:asciiTheme="minorHAnsi" w:hAnsiTheme="minorHAnsi"/>
          <w:sz w:val="22"/>
          <w:szCs w:val="22"/>
        </w:rPr>
        <w:t xml:space="preserve">Figure </w:t>
      </w:r>
      <w:bookmarkEnd w:id="0"/>
      <w:r>
        <w:rPr>
          <w:rFonts w:asciiTheme="minorHAnsi" w:hAnsiTheme="minorHAnsi"/>
          <w:sz w:val="22"/>
          <w:szCs w:val="22"/>
        </w:rPr>
        <w:t>1</w:t>
      </w:r>
      <w:r w:rsidRPr="00157A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157A23">
        <w:rPr>
          <w:rFonts w:asciiTheme="minorHAnsi" w:hAnsiTheme="minorHAnsi" w:cs="Times New Roman"/>
          <w:sz w:val="22"/>
          <w:szCs w:val="22"/>
        </w:rPr>
        <w:t>Current practice (usual care) progression</w:t>
      </w:r>
      <w:bookmarkEnd w:id="1"/>
      <w:r>
        <w:rPr>
          <w:rFonts w:cs="Times New Roman"/>
        </w:rPr>
        <w:br w:type="page"/>
      </w:r>
    </w:p>
    <w:p w14:paraId="405BE3BB" w14:textId="77777777" w:rsidR="005D2B23" w:rsidRDefault="005D2B23" w:rsidP="005D2B23">
      <w:pPr>
        <w:spacing w:after="0"/>
        <w:rPr>
          <w:rFonts w:cs="Times New Roman"/>
          <w:bCs/>
        </w:rPr>
        <w:sectPr w:rsidR="005D2B23" w:rsidSect="005D2B23">
          <w:footerReference w:type="default" r:id="rId9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03C6516" w14:textId="77777777" w:rsidR="005D2B23" w:rsidRPr="00157A23" w:rsidRDefault="00B37197" w:rsidP="005D2B23">
      <w:pPr>
        <w:spacing w:after="0"/>
        <w:rPr>
          <w:rFonts w:cs="Times New Roman"/>
          <w:bCs/>
        </w:rPr>
      </w:pPr>
      <w:r w:rsidRPr="00157A23">
        <w:rPr>
          <w:rFonts w:cs="Times New Roman"/>
          <w:b/>
          <w:bCs/>
          <w:noProof/>
          <w:lang w:eastAsia="en-GB"/>
        </w:rPr>
        <w:lastRenderedPageBreak/>
        <w:drawing>
          <wp:inline distT="0" distB="0" distL="0" distR="0" wp14:anchorId="45585F95" wp14:editId="6A579F6F">
            <wp:extent cx="6120130" cy="732264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C2E6" w14:textId="77777777" w:rsidR="005D2B23" w:rsidRPr="00157A23" w:rsidRDefault="005D2B23" w:rsidP="005D2B23">
      <w:pPr>
        <w:spacing w:after="0"/>
        <w:rPr>
          <w:rFonts w:cs="Times New Roman"/>
          <w:b/>
          <w:bCs/>
        </w:rPr>
      </w:pPr>
    </w:p>
    <w:p w14:paraId="1387DD74" w14:textId="77777777" w:rsidR="005D2B23" w:rsidRPr="00157A23" w:rsidRDefault="005D2B23" w:rsidP="005D2B23">
      <w:pPr>
        <w:spacing w:after="0"/>
        <w:rPr>
          <w:rFonts w:cs="Times New Roman"/>
          <w:b/>
          <w:bCs/>
        </w:rPr>
      </w:pPr>
    </w:p>
    <w:p w14:paraId="5E477432" w14:textId="77777777" w:rsidR="005D2B23" w:rsidRPr="00157A23" w:rsidRDefault="005D2B23" w:rsidP="005D2B23">
      <w:pPr>
        <w:pStyle w:val="Caption"/>
        <w:spacing w:after="0" w:line="276" w:lineRule="auto"/>
        <w:rPr>
          <w:rFonts w:asciiTheme="minorHAnsi" w:hAnsiTheme="minorHAnsi" w:cs="Times New Roman"/>
          <w:b w:val="0"/>
          <w:bCs w:val="0"/>
          <w:sz w:val="22"/>
          <w:szCs w:val="22"/>
        </w:rPr>
      </w:pPr>
      <w:bookmarkStart w:id="2" w:name="_Toc383603683"/>
      <w:r>
        <w:rPr>
          <w:rFonts w:asciiTheme="minorHAnsi" w:hAnsiTheme="minorHAnsi"/>
          <w:sz w:val="22"/>
          <w:szCs w:val="22"/>
        </w:rPr>
        <w:t xml:space="preserve">Appendix: </w:t>
      </w:r>
      <w:r w:rsidRPr="00157A23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2</w:t>
      </w:r>
      <w:r w:rsidRPr="00157A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Pr="00157A23">
        <w:rPr>
          <w:rFonts w:asciiTheme="minorHAnsi" w:hAnsiTheme="minorHAnsi"/>
          <w:sz w:val="22"/>
          <w:szCs w:val="22"/>
        </w:rPr>
        <w:t xml:space="preserve"> </w:t>
      </w:r>
      <w:r w:rsidRPr="00157A23">
        <w:rPr>
          <w:rFonts w:asciiTheme="minorHAnsi" w:hAnsiTheme="minorHAnsi" w:cs="Times New Roman"/>
          <w:sz w:val="22"/>
          <w:szCs w:val="22"/>
        </w:rPr>
        <w:t>Current practice (usual care) regression</w:t>
      </w:r>
      <w:bookmarkEnd w:id="2"/>
    </w:p>
    <w:p w14:paraId="76417FD2" w14:textId="77777777" w:rsidR="005D2B23" w:rsidRDefault="005D2B23" w:rsidP="005D2B23">
      <w:pPr>
        <w:spacing w:after="0"/>
        <w:rPr>
          <w:rFonts w:cs="Times New Roman"/>
          <w:b/>
          <w:bCs/>
        </w:rPr>
      </w:pPr>
    </w:p>
    <w:p w14:paraId="49D19D70" w14:textId="77777777" w:rsidR="005D2B23" w:rsidRDefault="005D2B23" w:rsidP="005D2B23">
      <w:pPr>
        <w:spacing w:after="0"/>
        <w:rPr>
          <w:rFonts w:cs="Times New Roman"/>
          <w:b/>
          <w:bCs/>
        </w:rPr>
        <w:sectPr w:rsidR="005D2B23" w:rsidSect="005D2B23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991BF29" w14:textId="77777777" w:rsidR="005D2B23" w:rsidRPr="00157A23" w:rsidRDefault="005D2B23" w:rsidP="005D2B23">
      <w:pPr>
        <w:spacing w:after="0"/>
        <w:rPr>
          <w:rFonts w:cs="Times New Roman"/>
          <w:b/>
          <w:bCs/>
        </w:rPr>
      </w:pPr>
      <w:r w:rsidRPr="00157A23">
        <w:rPr>
          <w:rFonts w:cs="Times New Roman"/>
          <w:b/>
          <w:bCs/>
          <w:noProof/>
          <w:lang w:eastAsia="en-GB"/>
        </w:rPr>
        <w:lastRenderedPageBreak/>
        <w:drawing>
          <wp:inline distT="0" distB="0" distL="0" distR="0" wp14:anchorId="3E8C4A07" wp14:editId="2700CD2E">
            <wp:extent cx="8857397" cy="549322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49D5" w14:textId="77777777" w:rsidR="005D2B23" w:rsidRPr="00157A23" w:rsidRDefault="005D2B23" w:rsidP="005D2B23">
      <w:pPr>
        <w:pStyle w:val="Caption"/>
        <w:spacing w:after="0" w:line="276" w:lineRule="auto"/>
        <w:rPr>
          <w:rFonts w:asciiTheme="minorHAnsi" w:hAnsiTheme="minorHAnsi" w:cs="Times New Roman"/>
          <w:b w:val="0"/>
          <w:bCs w:val="0"/>
          <w:sz w:val="22"/>
          <w:szCs w:val="22"/>
        </w:rPr>
      </w:pPr>
      <w:bookmarkStart w:id="3" w:name="_Toc383603684"/>
      <w:r>
        <w:rPr>
          <w:rFonts w:asciiTheme="minorHAnsi" w:hAnsiTheme="minorHAnsi"/>
          <w:sz w:val="22"/>
          <w:szCs w:val="22"/>
        </w:rPr>
        <w:t xml:space="preserve">Appendix: </w:t>
      </w:r>
      <w:r w:rsidRPr="00157A23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 w:rsidRPr="00157A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Pr="00157A23">
        <w:rPr>
          <w:rFonts w:asciiTheme="minorHAnsi" w:hAnsiTheme="minorHAnsi"/>
          <w:sz w:val="22"/>
          <w:szCs w:val="22"/>
        </w:rPr>
        <w:t xml:space="preserve"> </w:t>
      </w:r>
      <w:r w:rsidRPr="00843E64">
        <w:rPr>
          <w:rFonts w:asciiTheme="minorHAnsi" w:hAnsiTheme="minorHAnsi" w:cs="Times New Roman"/>
          <w:bCs w:val="0"/>
          <w:sz w:val="22"/>
          <w:szCs w:val="22"/>
        </w:rPr>
        <w:t>Early PRP (intervention) progression</w:t>
      </w:r>
      <w:bookmarkEnd w:id="3"/>
    </w:p>
    <w:p w14:paraId="5DA04439" w14:textId="77777777" w:rsidR="005D2B23" w:rsidRDefault="005D2B23" w:rsidP="005D2B23">
      <w:pPr>
        <w:spacing w:after="0"/>
        <w:rPr>
          <w:rFonts w:cs="Times New Roman"/>
          <w:b/>
          <w:bCs/>
        </w:rPr>
        <w:sectPr w:rsidR="005D2B23" w:rsidSect="005D2B23">
          <w:footerReference w:type="default" r:id="rId12"/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14:paraId="6866225C" w14:textId="77777777" w:rsidR="005D2B23" w:rsidRPr="00157A23" w:rsidRDefault="00B37197" w:rsidP="005D2B23">
      <w:pPr>
        <w:spacing w:after="0"/>
        <w:rPr>
          <w:rFonts w:cs="Times New Roman"/>
          <w:b/>
          <w:bCs/>
        </w:rPr>
      </w:pPr>
      <w:r w:rsidRPr="00157A23">
        <w:rPr>
          <w:rFonts w:cs="Times New Roman"/>
          <w:noProof/>
          <w:lang w:eastAsia="en-GB"/>
        </w:rPr>
        <w:lastRenderedPageBreak/>
        <w:drawing>
          <wp:inline distT="0" distB="0" distL="0" distR="0" wp14:anchorId="64CC20FF" wp14:editId="061AB4D3">
            <wp:extent cx="6120130" cy="673874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1397" w14:textId="77777777" w:rsidR="005D2B23" w:rsidRPr="00157A23" w:rsidRDefault="005D2B23" w:rsidP="005D2B23">
      <w:pPr>
        <w:spacing w:after="0"/>
        <w:rPr>
          <w:rFonts w:cs="Times New Roman"/>
          <w:b/>
          <w:bCs/>
        </w:rPr>
      </w:pPr>
    </w:p>
    <w:p w14:paraId="28995E79" w14:textId="77777777" w:rsidR="005D2B23" w:rsidRDefault="005D2B23" w:rsidP="005D2B23">
      <w:pPr>
        <w:pStyle w:val="Caption"/>
        <w:spacing w:after="0" w:line="276" w:lineRule="auto"/>
        <w:rPr>
          <w:rFonts w:asciiTheme="minorHAnsi" w:hAnsiTheme="minorHAnsi" w:cs="Times New Roman"/>
          <w:bCs w:val="0"/>
          <w:sz w:val="22"/>
          <w:szCs w:val="22"/>
        </w:rPr>
      </w:pPr>
      <w:bookmarkStart w:id="4" w:name="_Ref383112376"/>
      <w:bookmarkStart w:id="5" w:name="_Toc383603685"/>
      <w:r>
        <w:rPr>
          <w:rFonts w:asciiTheme="minorHAnsi" w:hAnsiTheme="minorHAnsi"/>
          <w:sz w:val="22"/>
          <w:szCs w:val="22"/>
        </w:rPr>
        <w:t xml:space="preserve">Appendix: </w:t>
      </w:r>
      <w:r w:rsidRPr="00157A23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r w:rsidRPr="00157A23">
        <w:rPr>
          <w:rFonts w:asciiTheme="minorHAnsi" w:hAnsiTheme="minorHAnsi"/>
          <w:sz w:val="22"/>
          <w:szCs w:val="22"/>
        </w:rPr>
        <w:t xml:space="preserve"> </w:t>
      </w:r>
      <w:bookmarkEnd w:id="4"/>
      <w:r>
        <w:rPr>
          <w:rFonts w:asciiTheme="minorHAnsi" w:hAnsiTheme="minorHAnsi"/>
          <w:sz w:val="22"/>
          <w:szCs w:val="22"/>
        </w:rPr>
        <w:t>-</w:t>
      </w:r>
      <w:r w:rsidRPr="00157A23">
        <w:rPr>
          <w:rFonts w:asciiTheme="minorHAnsi" w:hAnsiTheme="minorHAnsi"/>
          <w:sz w:val="22"/>
          <w:szCs w:val="22"/>
        </w:rPr>
        <w:t xml:space="preserve"> </w:t>
      </w:r>
      <w:r w:rsidRPr="00843E64">
        <w:rPr>
          <w:rFonts w:asciiTheme="minorHAnsi" w:hAnsiTheme="minorHAnsi" w:cs="Times New Roman"/>
          <w:bCs w:val="0"/>
          <w:sz w:val="22"/>
          <w:szCs w:val="22"/>
        </w:rPr>
        <w:t>Early PRP (intervention) regression</w:t>
      </w:r>
      <w:bookmarkEnd w:id="5"/>
    </w:p>
    <w:p w14:paraId="1ECA20E6" w14:textId="77777777" w:rsidR="00B37197" w:rsidRPr="00B37197" w:rsidRDefault="00B37197" w:rsidP="00B37197"/>
    <w:p w14:paraId="4B5CE255" w14:textId="77777777" w:rsidR="005D2B23" w:rsidRDefault="005D2B23" w:rsidP="005D2B23">
      <w:r>
        <w:rPr>
          <w:rFonts w:cs="Times New Roman"/>
        </w:rPr>
        <w:t xml:space="preserve">Key: </w:t>
      </w:r>
      <w:r w:rsidRPr="00230B7D">
        <w:rPr>
          <w:rFonts w:cs="Times New Roman"/>
        </w:rPr>
        <w:t>CSDMO, clinically significant diabetic macular oedema; NPDR, non-proliferative diabetic retinopathy; PDR, proliferative diabetic retinopathy; PT, post-treatment; VI, visual impairment</w:t>
      </w:r>
    </w:p>
    <w:p w14:paraId="45AB0850" w14:textId="77777777" w:rsidR="00053313" w:rsidRDefault="00053313" w:rsidP="0034792D">
      <w:pPr>
        <w:spacing w:after="0"/>
      </w:pPr>
    </w:p>
    <w:p w14:paraId="44F68B2C" w14:textId="77777777" w:rsidR="00053313" w:rsidRDefault="00053313" w:rsidP="0034792D">
      <w:pPr>
        <w:spacing w:after="0"/>
      </w:pPr>
    </w:p>
    <w:p w14:paraId="4B8370DE" w14:textId="77777777" w:rsidR="00053313" w:rsidRDefault="00053313" w:rsidP="0034792D">
      <w:pPr>
        <w:spacing w:after="0"/>
      </w:pPr>
    </w:p>
    <w:p w14:paraId="7C1A35F8" w14:textId="77777777" w:rsidR="00053313" w:rsidRDefault="00053313" w:rsidP="0034792D">
      <w:pPr>
        <w:spacing w:after="0"/>
      </w:pPr>
    </w:p>
    <w:p w14:paraId="375CDF90" w14:textId="77777777" w:rsidR="00053313" w:rsidRDefault="00053313" w:rsidP="0034792D">
      <w:pPr>
        <w:spacing w:after="0"/>
      </w:pPr>
    </w:p>
    <w:p w14:paraId="11FA9804" w14:textId="77777777" w:rsidR="00053313" w:rsidRDefault="00053313" w:rsidP="0034792D">
      <w:pPr>
        <w:spacing w:after="0"/>
      </w:pPr>
    </w:p>
    <w:p w14:paraId="6947F015" w14:textId="13CECD59" w:rsidR="00053313" w:rsidRPr="000264E9" w:rsidRDefault="00053313" w:rsidP="00053313">
      <w:pPr>
        <w:spacing w:after="0"/>
        <w:rPr>
          <w:rFonts w:cs="Arial"/>
          <w:b/>
        </w:rPr>
      </w:pPr>
      <w:r>
        <w:rPr>
          <w:rFonts w:cs="Arial"/>
          <w:b/>
          <w:bCs/>
        </w:rPr>
        <w:lastRenderedPageBreak/>
        <w:t xml:space="preserve">Appendix </w:t>
      </w:r>
      <w:r w:rsidRPr="000264E9">
        <w:rPr>
          <w:rFonts w:cs="Arial"/>
          <w:b/>
          <w:bCs/>
        </w:rPr>
        <w:t xml:space="preserve">Table </w:t>
      </w:r>
      <w:r>
        <w:rPr>
          <w:rFonts w:cs="Arial"/>
          <w:b/>
          <w:bCs/>
        </w:rPr>
        <w:t>1</w:t>
      </w:r>
      <w:r w:rsidRPr="000264E9">
        <w:rPr>
          <w:rFonts w:cs="Arial"/>
          <w:b/>
          <w:bCs/>
        </w:rPr>
        <w:t>: Health states in the model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053313" w:rsidRPr="000264E9" w14:paraId="02E3AD91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3551" w14:textId="77777777" w:rsidR="00053313" w:rsidRPr="000264E9" w:rsidRDefault="00053313" w:rsidP="00053313">
            <w:pPr>
              <w:spacing w:after="0"/>
            </w:pPr>
            <w:r w:rsidRPr="000264E9">
              <w:rPr>
                <w:b/>
                <w:bCs/>
                <w:i/>
                <w:iCs/>
              </w:rPr>
              <w:t>Health state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162E" w14:textId="77777777" w:rsidR="00053313" w:rsidRPr="000264E9" w:rsidRDefault="00053313" w:rsidP="00053313">
            <w:pPr>
              <w:spacing w:after="0"/>
            </w:pPr>
            <w:r w:rsidRPr="000264E9">
              <w:rPr>
                <w:b/>
                <w:bCs/>
                <w:i/>
                <w:iCs/>
              </w:rPr>
              <w:t>Post-treatment health state</w:t>
            </w:r>
          </w:p>
        </w:tc>
      </w:tr>
      <w:tr w:rsidR="00053313" w:rsidRPr="000264E9" w14:paraId="408680CE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58C2" w14:textId="77777777" w:rsidR="00053313" w:rsidRPr="000264E9" w:rsidRDefault="00053313" w:rsidP="00053313">
            <w:pPr>
              <w:spacing w:after="0"/>
            </w:pPr>
            <w:r w:rsidRPr="000264E9">
              <w:t>Moderate NPDR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F674" w14:textId="77777777" w:rsidR="00053313" w:rsidRPr="000264E9" w:rsidRDefault="00053313" w:rsidP="00053313">
            <w:pPr>
              <w:spacing w:after="0"/>
            </w:pPr>
          </w:p>
        </w:tc>
      </w:tr>
      <w:tr w:rsidR="00053313" w:rsidRPr="000264E9" w14:paraId="1AD21161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2F50" w14:textId="77777777" w:rsidR="00053313" w:rsidRPr="000264E9" w:rsidRDefault="00053313" w:rsidP="00053313">
            <w:pPr>
              <w:spacing w:after="0"/>
            </w:pPr>
            <w:r w:rsidRPr="000264E9">
              <w:t xml:space="preserve">Severe NPDR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C6AF" w14:textId="77777777" w:rsidR="00053313" w:rsidRPr="000264E9" w:rsidRDefault="00053313" w:rsidP="00053313">
            <w:pPr>
              <w:spacing w:after="0"/>
            </w:pPr>
            <w:r w:rsidRPr="000264E9">
              <w:t>Severe NPDR PT</w:t>
            </w:r>
          </w:p>
        </w:tc>
      </w:tr>
      <w:tr w:rsidR="00053313" w:rsidRPr="000264E9" w14:paraId="7AF6342E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6CB7" w14:textId="77777777" w:rsidR="00053313" w:rsidRPr="000264E9" w:rsidRDefault="00053313" w:rsidP="00053313">
            <w:pPr>
              <w:spacing w:after="0"/>
            </w:pPr>
            <w:r w:rsidRPr="000264E9">
              <w:t xml:space="preserve">Severe NPDR and CSDMO with/without VI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5DFA" w14:textId="77777777" w:rsidR="00053313" w:rsidRPr="000264E9" w:rsidRDefault="00053313" w:rsidP="00053313">
            <w:pPr>
              <w:spacing w:after="0"/>
            </w:pPr>
            <w:r w:rsidRPr="000264E9">
              <w:t>Severe NPDR and CSDMO with/without VI PT</w:t>
            </w:r>
          </w:p>
        </w:tc>
      </w:tr>
      <w:tr w:rsidR="00053313" w:rsidRPr="000264E9" w14:paraId="22D9ABAF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CC49" w14:textId="77777777" w:rsidR="00053313" w:rsidRPr="000264E9" w:rsidRDefault="00053313" w:rsidP="00053313">
            <w:pPr>
              <w:spacing w:after="0"/>
            </w:pPr>
            <w:r w:rsidRPr="000264E9">
              <w:t xml:space="preserve">Early PDR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E4DD" w14:textId="77777777" w:rsidR="00053313" w:rsidRPr="000264E9" w:rsidRDefault="00053313" w:rsidP="00053313">
            <w:pPr>
              <w:spacing w:after="0"/>
            </w:pPr>
            <w:r w:rsidRPr="000264E9">
              <w:t>Early PDR PT</w:t>
            </w:r>
          </w:p>
        </w:tc>
      </w:tr>
      <w:tr w:rsidR="00053313" w:rsidRPr="000264E9" w14:paraId="57ECCC93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114D" w14:textId="77777777" w:rsidR="00053313" w:rsidRPr="000264E9" w:rsidRDefault="00053313" w:rsidP="00053313">
            <w:pPr>
              <w:spacing w:after="0"/>
            </w:pPr>
            <w:r w:rsidRPr="000264E9">
              <w:t>Early PDR and CSDMO with/without VI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62D7" w14:textId="77777777" w:rsidR="00053313" w:rsidRPr="000264E9" w:rsidRDefault="00053313" w:rsidP="00053313">
            <w:pPr>
              <w:spacing w:after="0"/>
            </w:pPr>
            <w:r w:rsidRPr="000264E9">
              <w:t>Early PDR and CSDMO with/without VI PT</w:t>
            </w:r>
          </w:p>
        </w:tc>
      </w:tr>
      <w:tr w:rsidR="00053313" w:rsidRPr="000264E9" w14:paraId="180D4C94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0C4E" w14:textId="77777777" w:rsidR="00053313" w:rsidRPr="000264E9" w:rsidRDefault="00053313" w:rsidP="00053313">
            <w:pPr>
              <w:spacing w:after="0"/>
            </w:pPr>
            <w:r w:rsidRPr="000264E9">
              <w:t xml:space="preserve">High-risk PDR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CB34" w14:textId="77777777" w:rsidR="00053313" w:rsidRPr="000264E9" w:rsidRDefault="00053313" w:rsidP="00053313">
            <w:pPr>
              <w:spacing w:after="0"/>
            </w:pPr>
            <w:r w:rsidRPr="000264E9">
              <w:t>High-risk PDR PT</w:t>
            </w:r>
          </w:p>
        </w:tc>
      </w:tr>
      <w:tr w:rsidR="00053313" w:rsidRPr="000264E9" w14:paraId="405E7799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9691" w14:textId="77777777" w:rsidR="00053313" w:rsidRPr="000264E9" w:rsidRDefault="00053313" w:rsidP="00053313">
            <w:pPr>
              <w:spacing w:after="0"/>
            </w:pPr>
            <w:r w:rsidRPr="000264E9">
              <w:t>High-risk PDR and CSDMO with/without VI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197D" w14:textId="77777777" w:rsidR="00053313" w:rsidRPr="000264E9" w:rsidRDefault="00053313" w:rsidP="00053313">
            <w:pPr>
              <w:spacing w:after="0"/>
            </w:pPr>
            <w:r w:rsidRPr="000264E9">
              <w:t>High-risk PDR and CSDMO with/without VI PT</w:t>
            </w:r>
          </w:p>
        </w:tc>
      </w:tr>
      <w:tr w:rsidR="00053313" w:rsidRPr="000264E9" w14:paraId="2A44C5C9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025A" w14:textId="77777777" w:rsidR="00053313" w:rsidRPr="000264E9" w:rsidRDefault="00053313" w:rsidP="00053313">
            <w:pPr>
              <w:spacing w:after="0"/>
            </w:pPr>
            <w:r w:rsidRPr="000264E9">
              <w:t xml:space="preserve">Severe PDR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DB09" w14:textId="77777777" w:rsidR="00053313" w:rsidRPr="000264E9" w:rsidRDefault="00053313" w:rsidP="00053313">
            <w:pPr>
              <w:spacing w:after="0"/>
            </w:pPr>
            <w:r w:rsidRPr="000264E9">
              <w:t>Severe PDR PT</w:t>
            </w:r>
          </w:p>
        </w:tc>
      </w:tr>
      <w:tr w:rsidR="00053313" w:rsidRPr="000264E9" w14:paraId="0E4B3C85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6E83" w14:textId="77777777" w:rsidR="00053313" w:rsidRPr="000264E9" w:rsidRDefault="00053313" w:rsidP="00053313">
            <w:pPr>
              <w:spacing w:after="0"/>
            </w:pPr>
            <w:r w:rsidRPr="000264E9">
              <w:t>Severe PDR and CSDMO with/without VI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5DCC" w14:textId="77777777" w:rsidR="00053313" w:rsidRPr="000264E9" w:rsidRDefault="00053313" w:rsidP="00053313">
            <w:pPr>
              <w:spacing w:after="0"/>
            </w:pPr>
            <w:r w:rsidRPr="000264E9">
              <w:t>Severe PDR and CSDMO with/without VI PT</w:t>
            </w:r>
          </w:p>
        </w:tc>
      </w:tr>
      <w:tr w:rsidR="00053313" w:rsidRPr="000264E9" w14:paraId="3467C0FA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72E2" w14:textId="77777777" w:rsidR="00053313" w:rsidRPr="000264E9" w:rsidRDefault="00053313" w:rsidP="00053313">
            <w:pPr>
              <w:spacing w:after="0"/>
            </w:pPr>
            <w:r w:rsidRPr="000264E9">
              <w:t>Severe visual loss/blindness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4D9F" w14:textId="77777777" w:rsidR="00053313" w:rsidRPr="000264E9" w:rsidRDefault="00053313" w:rsidP="00053313">
            <w:pPr>
              <w:spacing w:after="0"/>
            </w:pPr>
            <w:r w:rsidRPr="000264E9">
              <w:t> </w:t>
            </w:r>
          </w:p>
        </w:tc>
      </w:tr>
      <w:tr w:rsidR="00053313" w:rsidRPr="000264E9" w14:paraId="683813FB" w14:textId="77777777" w:rsidTr="00074821">
        <w:trPr>
          <w:trHeight w:val="2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0619" w14:textId="77777777" w:rsidR="00053313" w:rsidRPr="000264E9" w:rsidRDefault="00053313" w:rsidP="00053313">
            <w:pPr>
              <w:spacing w:after="0"/>
            </w:pPr>
            <w:r w:rsidRPr="000264E9">
              <w:t>Death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A74C" w14:textId="77777777" w:rsidR="00053313" w:rsidRPr="000264E9" w:rsidRDefault="00053313" w:rsidP="00053313">
            <w:pPr>
              <w:spacing w:after="0"/>
            </w:pPr>
            <w:r w:rsidRPr="000264E9">
              <w:t> </w:t>
            </w:r>
          </w:p>
        </w:tc>
      </w:tr>
    </w:tbl>
    <w:p w14:paraId="3BC639F2" w14:textId="77777777" w:rsidR="00053313" w:rsidRDefault="00053313" w:rsidP="0034792D">
      <w:pPr>
        <w:spacing w:after="0"/>
      </w:pPr>
    </w:p>
    <w:p w14:paraId="0F924DC1" w14:textId="6BF54789" w:rsidR="00B96ADD" w:rsidRDefault="004D0A44" w:rsidP="0034792D">
      <w:pPr>
        <w:spacing w:after="0"/>
        <w:rPr>
          <w:rFonts w:cs="Times New Roman"/>
        </w:rPr>
      </w:pPr>
      <w:r>
        <w:t xml:space="preserve">A Markov (state-transition) model was developed using Microsoft Excel.  </w:t>
      </w:r>
      <w:r w:rsidR="00192F07">
        <w:t>M</w:t>
      </w:r>
      <w:r w:rsidR="0034792D" w:rsidRPr="00E01953">
        <w:t xml:space="preserve">odel structure for people receiving current practice (usual </w:t>
      </w:r>
      <w:r w:rsidR="007166EF">
        <w:t xml:space="preserve">care) </w:t>
      </w:r>
      <w:r w:rsidR="00192F07">
        <w:t xml:space="preserve">is shown in </w:t>
      </w:r>
      <w:r w:rsidR="00192F07" w:rsidRPr="00E01953">
        <w:t xml:space="preserve">Figures 1 and </w:t>
      </w:r>
      <w:r w:rsidR="00192F07">
        <w:t>2</w:t>
      </w:r>
      <w:r w:rsidR="00192F07" w:rsidRPr="00E01953">
        <w:t xml:space="preserve"> </w:t>
      </w:r>
      <w:r w:rsidR="00192F07">
        <w:t xml:space="preserve">and </w:t>
      </w:r>
      <w:r w:rsidR="0034792D" w:rsidRPr="00E01953">
        <w:t>the model structure for people receiving early PRP (intervention arm)</w:t>
      </w:r>
      <w:r w:rsidR="00192F07">
        <w:t xml:space="preserve"> is </w:t>
      </w:r>
      <w:r w:rsidR="00192F07" w:rsidRPr="00E01953">
        <w:t>show</w:t>
      </w:r>
      <w:r w:rsidR="00192F07">
        <w:t xml:space="preserve">n in </w:t>
      </w:r>
      <w:r w:rsidR="00192F07" w:rsidRPr="00E01953">
        <w:t>figur</w:t>
      </w:r>
      <w:r w:rsidR="00192F07">
        <w:t>es</w:t>
      </w:r>
      <w:r w:rsidR="00192F07" w:rsidRPr="00E01953">
        <w:t xml:space="preserve"> </w:t>
      </w:r>
      <w:r w:rsidR="00192F07">
        <w:t>3</w:t>
      </w:r>
      <w:r w:rsidR="00192F07" w:rsidRPr="00E01953">
        <w:t xml:space="preserve"> and </w:t>
      </w:r>
      <w:r w:rsidR="00192F07">
        <w:t>4</w:t>
      </w:r>
      <w:r w:rsidR="0034792D" w:rsidRPr="00E01953">
        <w:t>.</w:t>
      </w:r>
      <w:r w:rsidR="0034792D" w:rsidRPr="000264E9">
        <w:t xml:space="preserve"> </w:t>
      </w:r>
      <w:r w:rsidR="007166EF">
        <w:t xml:space="preserve"> </w:t>
      </w:r>
      <w:r w:rsidR="002F50DA" w:rsidRPr="00157A23">
        <w:rPr>
          <w:rFonts w:cs="Times New Roman"/>
        </w:rPr>
        <w:t>Health states</w:t>
      </w:r>
      <w:r w:rsidR="00A8637E">
        <w:rPr>
          <w:rFonts w:cs="Times New Roman"/>
        </w:rPr>
        <w:t xml:space="preserve"> (HS)</w:t>
      </w:r>
      <w:r w:rsidR="002F50DA" w:rsidRPr="00157A23">
        <w:rPr>
          <w:rFonts w:cs="Times New Roman"/>
        </w:rPr>
        <w:t xml:space="preserve"> in the model structure are shown in the ovals, the arrows represent the transitions that patients can make in the model</w:t>
      </w:r>
      <w:r w:rsidR="007166EF">
        <w:rPr>
          <w:rFonts w:cs="Times New Roman"/>
        </w:rPr>
        <w:t xml:space="preserve"> (patients can either progress or regress)</w:t>
      </w:r>
      <w:r w:rsidR="002F50DA" w:rsidRPr="00157A23">
        <w:rPr>
          <w:rFonts w:cs="Times New Roman"/>
        </w:rPr>
        <w:t>, the recurring arrows show that patients can stay in that same health state for more than one cycle, and death is an absorbing health state.</w:t>
      </w:r>
      <w:r w:rsidR="00A8637E">
        <w:rPr>
          <w:rFonts w:cs="Times New Roman"/>
        </w:rPr>
        <w:t xml:space="preserve">  Patients can die from diabetes related causes or</w:t>
      </w:r>
      <w:r w:rsidR="00063BC1">
        <w:rPr>
          <w:rFonts w:cs="Times New Roman"/>
        </w:rPr>
        <w:t xml:space="preserve"> die</w:t>
      </w:r>
      <w:r w:rsidR="00A8637E">
        <w:rPr>
          <w:rFonts w:cs="Times New Roman"/>
        </w:rPr>
        <w:t xml:space="preserve"> from other causes. </w:t>
      </w:r>
    </w:p>
    <w:p w14:paraId="5F65881E" w14:textId="36878DE9" w:rsidR="0034792D" w:rsidRPr="000264E9" w:rsidRDefault="0034792D" w:rsidP="0034792D">
      <w:pPr>
        <w:spacing w:after="0"/>
      </w:pPr>
      <w:r w:rsidRPr="000264E9">
        <w:t xml:space="preserve">The model starts </w:t>
      </w:r>
      <w:r w:rsidR="00A8637E">
        <w:t xml:space="preserve">with </w:t>
      </w:r>
      <w:r w:rsidRPr="000264E9">
        <w:t>patients presenting with moderate NPDR</w:t>
      </w:r>
      <w:r w:rsidR="004D0A44">
        <w:t xml:space="preserve"> and </w:t>
      </w:r>
      <w:r w:rsidRPr="000264E9">
        <w:t xml:space="preserve">assumes that people progress through all stages of diabetic retinopathy: </w:t>
      </w:r>
    </w:p>
    <w:p w14:paraId="5523C648" w14:textId="3133D58D" w:rsidR="0034792D" w:rsidRDefault="0034792D" w:rsidP="0034792D">
      <w:pPr>
        <w:spacing w:after="0"/>
        <w:jc w:val="center"/>
      </w:pPr>
      <w:r w:rsidRPr="000264E9">
        <w:t xml:space="preserve">Moderate NPDR </w:t>
      </w:r>
      <w:r w:rsidRPr="000264E9">
        <w:sym w:font="Wingdings" w:char="F0F0"/>
      </w:r>
      <w:r w:rsidRPr="000264E9">
        <w:t xml:space="preserve"> severe NPDR </w:t>
      </w:r>
      <w:r w:rsidRPr="000264E9">
        <w:sym w:font="Wingdings" w:char="F0F0"/>
      </w:r>
      <w:r w:rsidRPr="000264E9">
        <w:t xml:space="preserve"> early PDR </w:t>
      </w:r>
      <w:r w:rsidRPr="000264E9">
        <w:sym w:font="Wingdings" w:char="F0F0"/>
      </w:r>
      <w:r w:rsidRPr="000264E9">
        <w:t xml:space="preserve"> high-risk PDR </w:t>
      </w:r>
      <w:r w:rsidRPr="000264E9">
        <w:sym w:font="Wingdings" w:char="F0F0"/>
      </w:r>
      <w:r w:rsidRPr="000264E9">
        <w:t xml:space="preserve"> severe PDR</w:t>
      </w:r>
    </w:p>
    <w:p w14:paraId="2C9455B2" w14:textId="77777777" w:rsidR="00A8637E" w:rsidRPr="000264E9" w:rsidRDefault="00A8637E" w:rsidP="0034792D">
      <w:pPr>
        <w:spacing w:after="0"/>
        <w:jc w:val="center"/>
      </w:pPr>
    </w:p>
    <w:p w14:paraId="587A9AC3" w14:textId="6AACA4BC" w:rsidR="0034792D" w:rsidRPr="000264E9" w:rsidRDefault="0034792D" w:rsidP="0034792D">
      <w:pPr>
        <w:spacing w:after="0"/>
      </w:pPr>
      <w:r w:rsidRPr="000264E9">
        <w:t xml:space="preserve">In the first cycle, patients stay in the moderate NPDR </w:t>
      </w:r>
      <w:r w:rsidR="00A8637E">
        <w:t>HS</w:t>
      </w:r>
      <w:r w:rsidRPr="000264E9">
        <w:t xml:space="preserve"> or </w:t>
      </w:r>
      <w:r w:rsidR="00A8637E">
        <w:t xml:space="preserve">they </w:t>
      </w:r>
      <w:r w:rsidRPr="000264E9">
        <w:t xml:space="preserve">progress to either severe NPDR </w:t>
      </w:r>
      <w:r w:rsidR="00A8637E">
        <w:t>HS</w:t>
      </w:r>
      <w:r w:rsidRPr="000264E9">
        <w:t xml:space="preserve"> or to severe NPDR and CSDMO with/without VI </w:t>
      </w:r>
      <w:r w:rsidR="00A8637E">
        <w:t>HS</w:t>
      </w:r>
      <w:r w:rsidRPr="000264E9">
        <w:t xml:space="preserve"> or die.  In the intervention arm, those patients in the severe NPDR </w:t>
      </w:r>
      <w:r w:rsidR="00A8637E">
        <w:t>HS</w:t>
      </w:r>
      <w:r w:rsidRPr="000264E9">
        <w:t xml:space="preserve"> or the severe NPDR and CSDMO with/without VI </w:t>
      </w:r>
      <w:r w:rsidR="00A8637E">
        <w:t>HS</w:t>
      </w:r>
      <w:r w:rsidRPr="000264E9">
        <w:t xml:space="preserve">, receive treatment and at the end the cycle they move to the corresponding post-treatment </w:t>
      </w:r>
      <w:r w:rsidR="00A8637E">
        <w:t>HS</w:t>
      </w:r>
      <w:r w:rsidRPr="000264E9">
        <w:t>.</w:t>
      </w:r>
    </w:p>
    <w:p w14:paraId="7290062D" w14:textId="77777777" w:rsidR="0034792D" w:rsidRPr="000264E9" w:rsidRDefault="0034792D" w:rsidP="0034792D">
      <w:pPr>
        <w:spacing w:after="0"/>
      </w:pPr>
    </w:p>
    <w:p w14:paraId="1A49D64D" w14:textId="41776562" w:rsidR="0034792D" w:rsidRPr="000264E9" w:rsidRDefault="00A8637E" w:rsidP="0034792D">
      <w:pPr>
        <w:spacing w:after="0"/>
      </w:pPr>
      <w:r>
        <w:t xml:space="preserve">Usual care arm: </w:t>
      </w:r>
      <w:r w:rsidR="0034792D" w:rsidRPr="000264E9">
        <w:t xml:space="preserve">In the second cycle, </w:t>
      </w:r>
      <w:r>
        <w:t>patients c</w:t>
      </w:r>
      <w:r w:rsidR="0034792D" w:rsidRPr="000264E9">
        <w:t xml:space="preserve">an stay in either the moderate or severe NPDR </w:t>
      </w:r>
      <w:r>
        <w:t>HS</w:t>
      </w:r>
      <w:r w:rsidR="0034792D" w:rsidRPr="000264E9">
        <w:t xml:space="preserve"> or progress to early PDR or early PDR and CSDMO with/without VI or die.  In the next cycle, the patients can stay in the moderate</w:t>
      </w:r>
      <w:r w:rsidR="00022FF9">
        <w:t xml:space="preserve"> NPDR, s</w:t>
      </w:r>
      <w:r w:rsidR="0034792D" w:rsidRPr="000264E9">
        <w:t xml:space="preserve">evere NPDR or early PDR </w:t>
      </w:r>
      <w:r>
        <w:t>HS</w:t>
      </w:r>
      <w:r w:rsidR="0034792D" w:rsidRPr="000264E9">
        <w:t xml:space="preserve"> or progress to high-risk PDR or high risk PDR and CSDMO with/without VI </w:t>
      </w:r>
      <w:r>
        <w:t>HS</w:t>
      </w:r>
      <w:r w:rsidR="0034792D" w:rsidRPr="000264E9">
        <w:t xml:space="preserve"> or die (patients in the early PDR and CSDMO with/without VI can also progress to the severe visual loss/blindness </w:t>
      </w:r>
      <w:r>
        <w:t>HS</w:t>
      </w:r>
      <w:r w:rsidR="0034792D">
        <w:t xml:space="preserve"> because of DMO</w:t>
      </w:r>
      <w:r w:rsidR="0034792D" w:rsidRPr="000264E9">
        <w:t xml:space="preserve">).  </w:t>
      </w:r>
      <w:r w:rsidR="00022FF9">
        <w:t xml:space="preserve">Once </w:t>
      </w:r>
      <w:r w:rsidR="0034792D" w:rsidRPr="000264E9">
        <w:t xml:space="preserve">the patient moves to the high-risk PDR or high risk PDR and CSDMO with/without VI </w:t>
      </w:r>
      <w:r>
        <w:t>HS</w:t>
      </w:r>
      <w:r w:rsidR="0034792D" w:rsidRPr="000264E9">
        <w:t xml:space="preserve">, they receive treatment and at the end the cycle they move to the corresponding post-treatment </w:t>
      </w:r>
      <w:r>
        <w:t>HS</w:t>
      </w:r>
      <w:r w:rsidR="0034792D" w:rsidRPr="000264E9">
        <w:t xml:space="preserve">.  Once the patients enter the post-treatment </w:t>
      </w:r>
      <w:r>
        <w:t>HS,</w:t>
      </w:r>
      <w:r w:rsidR="0034792D" w:rsidRPr="000264E9">
        <w:t xml:space="preserve"> they can either stay in this </w:t>
      </w:r>
      <w:r>
        <w:t>HS</w:t>
      </w:r>
      <w:r w:rsidR="0034792D" w:rsidRPr="000264E9">
        <w:t xml:space="preserve"> or progress to one of the more severe</w:t>
      </w:r>
      <w:r>
        <w:t xml:space="preserve"> HS</w:t>
      </w:r>
      <w:r w:rsidR="0034792D" w:rsidRPr="000264E9">
        <w:t xml:space="preserve">, regress back to earlier stages of the disease, or die.  </w:t>
      </w:r>
    </w:p>
    <w:p w14:paraId="1DAEF575" w14:textId="77777777" w:rsidR="0034792D" w:rsidRPr="000264E9" w:rsidRDefault="0034792D" w:rsidP="0034792D">
      <w:pPr>
        <w:spacing w:after="0"/>
      </w:pPr>
    </w:p>
    <w:p w14:paraId="5C0B46CB" w14:textId="0024330A" w:rsidR="0034792D" w:rsidRDefault="00A8637E" w:rsidP="0034792D">
      <w:pPr>
        <w:spacing w:after="0"/>
      </w:pPr>
      <w:r>
        <w:t>Intervention arm: I</w:t>
      </w:r>
      <w:r w:rsidR="0034792D" w:rsidRPr="000264E9">
        <w:t>n the second cycle and onwards, patients can stay in the moderate NPDR</w:t>
      </w:r>
      <w:r>
        <w:t xml:space="preserve"> HS</w:t>
      </w:r>
      <w:r w:rsidR="0034792D" w:rsidRPr="000264E9">
        <w:t xml:space="preserve"> or progress to either severe NPDR or severe NPDR and CSDMO with/without VI</w:t>
      </w:r>
      <w:r w:rsidR="0034792D">
        <w:t xml:space="preserve"> or die</w:t>
      </w:r>
      <w:r w:rsidR="0034792D" w:rsidRPr="000264E9">
        <w:t xml:space="preserve">.  </w:t>
      </w:r>
      <w:r w:rsidR="0034792D">
        <w:t xml:space="preserve">For those patients who were in the severe NPDR </w:t>
      </w:r>
      <w:r>
        <w:t>HS</w:t>
      </w:r>
      <w:r w:rsidR="0034792D">
        <w:t xml:space="preserve"> in the second cycle, in the third cycle they can progress to early PDR or </w:t>
      </w:r>
      <w:r w:rsidR="0034792D" w:rsidRPr="000264E9">
        <w:t>early PDR and</w:t>
      </w:r>
      <w:r w:rsidR="0034792D">
        <w:t xml:space="preserve"> CSDMO with/without VI and so forth.  W</w:t>
      </w:r>
      <w:r w:rsidR="0034792D" w:rsidRPr="000264E9">
        <w:t xml:space="preserve">hen the patients progress to one of these </w:t>
      </w:r>
      <w:r>
        <w:t>HS</w:t>
      </w:r>
      <w:r w:rsidR="0034792D" w:rsidRPr="000264E9">
        <w:t xml:space="preserve"> </w:t>
      </w:r>
      <w:r w:rsidR="0034792D">
        <w:t xml:space="preserve">(i.e. severe NPDR or early PDR) </w:t>
      </w:r>
      <w:r w:rsidR="0034792D" w:rsidRPr="000264E9">
        <w:t xml:space="preserve">they will receive treatment and at the end the cycle they move to the corresponding post-treatment </w:t>
      </w:r>
      <w:r>
        <w:t>HS</w:t>
      </w:r>
      <w:r w:rsidR="0034792D" w:rsidRPr="000264E9">
        <w:t xml:space="preserve">.  </w:t>
      </w:r>
      <w:r>
        <w:t>P</w:t>
      </w:r>
      <w:r w:rsidR="0034792D" w:rsidRPr="000264E9">
        <w:t xml:space="preserve">atients who received treatment in the previous cycle, they start in the post-treatment </w:t>
      </w:r>
      <w:r>
        <w:t>HS</w:t>
      </w:r>
      <w:r w:rsidR="0034792D" w:rsidRPr="000264E9">
        <w:t xml:space="preserve"> and they can either stay in this</w:t>
      </w:r>
      <w:r>
        <w:t xml:space="preserve"> HS</w:t>
      </w:r>
      <w:r w:rsidR="0034792D" w:rsidRPr="000264E9">
        <w:t xml:space="preserve"> or progress to one of the more severe </w:t>
      </w:r>
      <w:r>
        <w:t>HS</w:t>
      </w:r>
      <w:r w:rsidR="0034792D" w:rsidRPr="000264E9">
        <w:t xml:space="preserve">, regress back to earlier stages of the disease, or die.  </w:t>
      </w:r>
    </w:p>
    <w:p w14:paraId="48B74555" w14:textId="1FFBCD85" w:rsidR="00A8637E" w:rsidRDefault="00A8637E" w:rsidP="0034792D">
      <w:pPr>
        <w:spacing w:after="0"/>
      </w:pPr>
    </w:p>
    <w:p w14:paraId="1A083DA3" w14:textId="5349B2B3" w:rsidR="00A8637E" w:rsidRPr="000264E9" w:rsidRDefault="00A8637E" w:rsidP="00A8637E">
      <w:pPr>
        <w:spacing w:after="0"/>
      </w:pPr>
      <w:r>
        <w:t xml:space="preserve">Both treatment arms: </w:t>
      </w:r>
      <w:r w:rsidRPr="000264E9">
        <w:t>Patients can stay in the post-treatment health state for more than one cycle.</w:t>
      </w:r>
    </w:p>
    <w:p w14:paraId="36969C88" w14:textId="77777777" w:rsidR="003137EB" w:rsidRDefault="003137EB" w:rsidP="003137EB">
      <w:pPr>
        <w:pStyle w:val="Caption"/>
        <w:spacing w:after="0" w:line="276" w:lineRule="auto"/>
        <w:rPr>
          <w:rFonts w:asciiTheme="minorHAnsi" w:hAnsiTheme="minorHAnsi"/>
          <w:b w:val="0"/>
          <w:sz w:val="22"/>
          <w:szCs w:val="22"/>
        </w:rPr>
      </w:pPr>
      <w:bookmarkStart w:id="6" w:name="_Ref383176636"/>
      <w:bookmarkStart w:id="7" w:name="_Toc396834674"/>
    </w:p>
    <w:p w14:paraId="7477F3C9" w14:textId="77777777" w:rsidR="003137EB" w:rsidRDefault="003137EB">
      <w:pPr>
        <w:spacing w:after="160" w:line="259" w:lineRule="auto"/>
        <w:rPr>
          <w:bCs/>
        </w:rPr>
      </w:pPr>
      <w:r>
        <w:rPr>
          <w:b/>
        </w:rPr>
        <w:br w:type="page"/>
      </w:r>
    </w:p>
    <w:p w14:paraId="15F96741" w14:textId="4EEF2E2B" w:rsidR="00DB29A1" w:rsidRPr="003137EB" w:rsidRDefault="003137EB" w:rsidP="003137EB">
      <w:pPr>
        <w:pStyle w:val="Caption"/>
        <w:spacing w:after="0" w:line="276" w:lineRule="auto"/>
        <w:rPr>
          <w:rFonts w:asciiTheme="minorHAnsi" w:hAnsiTheme="minorHAnsi" w:cs="Times New Roman"/>
          <w:i/>
          <w:sz w:val="22"/>
          <w:szCs w:val="22"/>
        </w:rPr>
      </w:pPr>
      <w:r w:rsidRPr="003137EB">
        <w:rPr>
          <w:rFonts w:asciiTheme="minorHAnsi" w:hAnsiTheme="minorHAnsi"/>
          <w:sz w:val="22"/>
          <w:szCs w:val="22"/>
        </w:rPr>
        <w:t xml:space="preserve">Appendix </w:t>
      </w:r>
      <w:r w:rsidR="00DB29A1" w:rsidRPr="003137EB">
        <w:rPr>
          <w:rFonts w:asciiTheme="minorHAnsi" w:hAnsiTheme="minorHAnsi"/>
          <w:sz w:val="22"/>
          <w:szCs w:val="22"/>
        </w:rPr>
        <w:t>Table</w:t>
      </w:r>
      <w:r w:rsidRPr="003137EB">
        <w:rPr>
          <w:rFonts w:asciiTheme="minorHAnsi" w:hAnsiTheme="minorHAnsi"/>
          <w:sz w:val="22"/>
          <w:szCs w:val="22"/>
        </w:rPr>
        <w:t xml:space="preserve"> 2: </w:t>
      </w:r>
      <w:bookmarkEnd w:id="6"/>
      <w:r w:rsidRPr="003137EB">
        <w:rPr>
          <w:rFonts w:asciiTheme="minorHAnsi" w:hAnsiTheme="minorHAnsi"/>
          <w:sz w:val="22"/>
          <w:szCs w:val="22"/>
        </w:rPr>
        <w:t>Key t</w:t>
      </w:r>
      <w:r w:rsidR="00DB29A1" w:rsidRPr="003137EB">
        <w:rPr>
          <w:rFonts w:asciiTheme="minorHAnsi" w:hAnsiTheme="minorHAnsi" w:cs="Times New Roman"/>
          <w:sz w:val="22"/>
          <w:szCs w:val="22"/>
        </w:rPr>
        <w:t xml:space="preserve">ransition probabilities </w:t>
      </w:r>
      <w:bookmarkEnd w:id="7"/>
    </w:p>
    <w:tbl>
      <w:tblPr>
        <w:tblW w:w="8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854"/>
        <w:gridCol w:w="1488"/>
        <w:gridCol w:w="952"/>
        <w:gridCol w:w="886"/>
      </w:tblGrid>
      <w:tr w:rsidR="00DB29A1" w:rsidRPr="003137EB" w14:paraId="3EC379D7" w14:textId="77777777" w:rsidTr="003137EB">
        <w:trPr>
          <w:trHeight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ADFEA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CC970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Moderate NPDR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86E5C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NPDR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A3D4B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Early PDR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B8658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High risk PDR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15806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PDR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81ED3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visual loss</w:t>
            </w:r>
          </w:p>
        </w:tc>
      </w:tr>
      <w:tr w:rsidR="003137EB" w:rsidRPr="003137EB" w14:paraId="1C3D6E96" w14:textId="77777777" w:rsidTr="003137EB">
        <w:trPr>
          <w:trHeight w:val="232"/>
        </w:trPr>
        <w:tc>
          <w:tcPr>
            <w:tcW w:w="82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86D13" w14:textId="62D9C310" w:rsidR="003137EB" w:rsidRPr="003137EB" w:rsidRDefault="003137EB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For the progression of diabetic retinopathy (intervention and usual care)</w:t>
            </w:r>
          </w:p>
        </w:tc>
      </w:tr>
      <w:tr w:rsidR="00DB29A1" w:rsidRPr="003137EB" w14:paraId="111F3D3E" w14:textId="77777777" w:rsidTr="003137EB">
        <w:trPr>
          <w:trHeight w:val="2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260A3D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Moderate NPDR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3BDE6" w14:textId="228F4BC4" w:rsidR="00DB29A1" w:rsidRPr="003137EB" w:rsidRDefault="00FA5E0D" w:rsidP="003137E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0.94981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8DE39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0.0221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9D3049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B0B6A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145208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0F1F5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</w:tr>
      <w:tr w:rsidR="00DB29A1" w:rsidRPr="003137EB" w14:paraId="1E49CF38" w14:textId="77777777" w:rsidTr="003137EB">
        <w:trPr>
          <w:trHeight w:val="24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D22F3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NPDR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C3A8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D5C8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B7C6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0.0214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4EE8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D257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88382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</w:tr>
      <w:tr w:rsidR="00DB29A1" w:rsidRPr="003137EB" w14:paraId="3030CF30" w14:textId="77777777" w:rsidTr="003137EB">
        <w:trPr>
          <w:trHeight w:val="18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4F6AD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Early PDR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52C5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1639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0F386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9625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0.0717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F6BDD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53AE2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</w:tr>
      <w:tr w:rsidR="00DB29A1" w:rsidRPr="003137EB" w14:paraId="76BC3380" w14:textId="77777777" w:rsidTr="003137EB">
        <w:trPr>
          <w:trHeight w:val="24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A7C20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High risk PDR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8F72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3EE9F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6EDD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FCBA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33F7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0.0459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3CDB76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</w:tr>
      <w:tr w:rsidR="00DB29A1" w:rsidRPr="003137EB" w14:paraId="7480C120" w14:textId="77777777" w:rsidTr="003137EB">
        <w:trPr>
          <w:trHeight w:val="14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682FA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PDR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A3D6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1B9E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3D07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401A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1454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5984E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0.0535</w:t>
            </w:r>
          </w:p>
        </w:tc>
      </w:tr>
      <w:tr w:rsidR="00DB29A1" w:rsidRPr="003137EB" w14:paraId="28E84184" w14:textId="77777777" w:rsidTr="003137EB">
        <w:trPr>
          <w:trHeight w:val="1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2800F4" w14:textId="77777777" w:rsidR="00DB29A1" w:rsidRPr="003137EB" w:rsidRDefault="00DB29A1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visual loss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97978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5A87E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C108F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4222A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F71E" w14:textId="77777777" w:rsidR="00DB29A1" w:rsidRPr="003137EB" w:rsidRDefault="00DB29A1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19D0" w14:textId="6A5C4E6B" w:rsidR="00DB29A1" w:rsidRPr="003137EB" w:rsidRDefault="00FA5E0D" w:rsidP="00FA5E0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1.0000</w:t>
            </w:r>
          </w:p>
        </w:tc>
      </w:tr>
      <w:tr w:rsidR="003137EB" w:rsidRPr="003137EB" w14:paraId="3095ADEC" w14:textId="77777777" w:rsidTr="003137EB">
        <w:trPr>
          <w:trHeight w:val="144"/>
        </w:trPr>
        <w:tc>
          <w:tcPr>
            <w:tcW w:w="82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445C6" w14:textId="7B8644D0" w:rsidR="003137EB" w:rsidRPr="003137EB" w:rsidRDefault="003137EB" w:rsidP="003137E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</w:t>
            </w:r>
            <w:r w:rsidRPr="003137EB">
              <w:rPr>
                <w:rFonts w:cs="Times New Roman"/>
                <w:b/>
              </w:rPr>
              <w:t>or the progression of diabetic retinopathy (usual care) - post treatment</w:t>
            </w:r>
          </w:p>
        </w:tc>
      </w:tr>
      <w:tr w:rsidR="003137EB" w:rsidRPr="003137EB" w14:paraId="102F6610" w14:textId="77777777" w:rsidTr="00313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14:paraId="7612116E" w14:textId="77777777" w:rsidR="003137EB" w:rsidRPr="003137EB" w:rsidRDefault="003137EB" w:rsidP="00074821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High risk PDR PT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E33A438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E2FCA8B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5A79F3F0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</w:tcPr>
          <w:p w14:paraId="139015EE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</w:tcPr>
          <w:p w14:paraId="19A619D7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0.0459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3A006F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</w:tr>
      <w:tr w:rsidR="003137EB" w:rsidRPr="003137EB" w14:paraId="60D953D9" w14:textId="77777777" w:rsidTr="00313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14:paraId="056B2F16" w14:textId="77777777" w:rsidR="003137EB" w:rsidRPr="003137EB" w:rsidRDefault="003137EB" w:rsidP="00074821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PDR PT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FA061A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C90C9B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58F56535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5938865B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14:paraId="688744AC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EBD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0.0252</w:t>
            </w:r>
          </w:p>
        </w:tc>
      </w:tr>
      <w:tr w:rsidR="003137EB" w:rsidRPr="003137EB" w14:paraId="7551EC44" w14:textId="77777777" w:rsidTr="003137EB">
        <w:trPr>
          <w:trHeight w:val="144"/>
        </w:trPr>
        <w:tc>
          <w:tcPr>
            <w:tcW w:w="8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F4F" w14:textId="00F4F3D9" w:rsidR="003137EB" w:rsidRPr="003137EB" w:rsidRDefault="003137EB" w:rsidP="003137EB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For the progression of diabetic retinopathy (intervention) - post treatment</w:t>
            </w:r>
          </w:p>
        </w:tc>
      </w:tr>
      <w:tr w:rsidR="003137EB" w:rsidRPr="003137EB" w14:paraId="6C721FB7" w14:textId="77777777" w:rsidTr="003137EB">
        <w:trPr>
          <w:trHeight w:val="144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4C4E7" w14:textId="77777777" w:rsidR="003137EB" w:rsidRPr="003137EB" w:rsidRDefault="003137EB" w:rsidP="00074821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NPDR 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B44D" w14:textId="77777777" w:rsidR="003137EB" w:rsidRPr="003137EB" w:rsidRDefault="003137EB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B468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C9BB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0.0171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DD82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7E26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D3AF0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</w:tr>
      <w:tr w:rsidR="003137EB" w:rsidRPr="003137EB" w14:paraId="43A4ED97" w14:textId="77777777" w:rsidTr="003137EB">
        <w:trPr>
          <w:trHeight w:val="144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4238E" w14:textId="77777777" w:rsidR="003137EB" w:rsidRPr="003137EB" w:rsidRDefault="003137EB" w:rsidP="00074821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Early PDR 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CE62" w14:textId="77777777" w:rsidR="003137EB" w:rsidRPr="003137EB" w:rsidRDefault="003137EB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7099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2861C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A2A2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0.0186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FF1D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DC257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</w:tr>
      <w:tr w:rsidR="003137EB" w:rsidRPr="003137EB" w14:paraId="64FE319D" w14:textId="77777777" w:rsidTr="003137EB">
        <w:trPr>
          <w:trHeight w:val="144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BE506" w14:textId="77777777" w:rsidR="003137EB" w:rsidRPr="003137EB" w:rsidRDefault="003137EB" w:rsidP="00074821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High risk PDR 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D30B" w14:textId="77777777" w:rsidR="003137EB" w:rsidRPr="003137EB" w:rsidRDefault="003137EB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5238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06AE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4755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B671C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0.0459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F9835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</w:tr>
      <w:tr w:rsidR="003137EB" w:rsidRPr="003137EB" w14:paraId="4B5F847B" w14:textId="77777777" w:rsidTr="003137EB">
        <w:trPr>
          <w:trHeight w:val="1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5C72CB" w14:textId="77777777" w:rsidR="003137EB" w:rsidRPr="003137EB" w:rsidRDefault="003137EB" w:rsidP="00074821">
            <w:pPr>
              <w:spacing w:after="0"/>
              <w:rPr>
                <w:rFonts w:cs="Times New Roman"/>
                <w:b/>
              </w:rPr>
            </w:pPr>
            <w:r w:rsidRPr="003137EB">
              <w:rPr>
                <w:rFonts w:cs="Times New Roman"/>
                <w:b/>
              </w:rPr>
              <w:t>Severe PDR 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B07D" w14:textId="77777777" w:rsidR="003137EB" w:rsidRPr="003137EB" w:rsidRDefault="003137EB" w:rsidP="003137EB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B5D9D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31E55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F9BF7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0.0036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F1A97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CDC1" w14:textId="77777777" w:rsidR="003137EB" w:rsidRPr="003137EB" w:rsidRDefault="003137EB" w:rsidP="00074821">
            <w:pPr>
              <w:spacing w:after="0"/>
              <w:jc w:val="center"/>
              <w:rPr>
                <w:rFonts w:cs="Times New Roman"/>
              </w:rPr>
            </w:pPr>
            <w:r w:rsidRPr="003137EB">
              <w:rPr>
                <w:rFonts w:cs="Times New Roman"/>
              </w:rPr>
              <w:t>0.0252</w:t>
            </w:r>
          </w:p>
        </w:tc>
      </w:tr>
    </w:tbl>
    <w:p w14:paraId="7AF49629" w14:textId="3ADD2014" w:rsidR="002A4560" w:rsidRPr="003137EB" w:rsidRDefault="00FA5E0D" w:rsidP="00FA5E0D">
      <w:pPr>
        <w:spacing w:after="0"/>
        <w:rPr>
          <w:rFonts w:cs="Times New Roman"/>
        </w:rPr>
      </w:pPr>
      <w:r>
        <w:rPr>
          <w:rFonts w:cs="Times New Roman"/>
        </w:rPr>
        <w:t>Please note each row may not add up to 1 as not all health states ha</w:t>
      </w:r>
      <w:bookmarkStart w:id="8" w:name="_GoBack"/>
      <w:r>
        <w:rPr>
          <w:rFonts w:cs="Times New Roman"/>
        </w:rPr>
        <w:t>v</w:t>
      </w:r>
      <w:bookmarkEnd w:id="8"/>
      <w:r>
        <w:rPr>
          <w:rFonts w:cs="Times New Roman"/>
        </w:rPr>
        <w:t>e been included in the table</w:t>
      </w:r>
    </w:p>
    <w:sectPr w:rsidR="002A4560" w:rsidRPr="003137EB" w:rsidSect="003137E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783A2" w14:textId="77777777" w:rsidR="00275AF3" w:rsidRDefault="00275AF3">
      <w:pPr>
        <w:spacing w:after="0" w:line="240" w:lineRule="auto"/>
      </w:pPr>
      <w:r>
        <w:separator/>
      </w:r>
    </w:p>
  </w:endnote>
  <w:endnote w:type="continuationSeparator" w:id="0">
    <w:p w14:paraId="73298949" w14:textId="77777777" w:rsidR="00275AF3" w:rsidRDefault="0027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724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C9E82" w14:textId="35035475" w:rsidR="003068F2" w:rsidRDefault="00306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F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9D7E9" w14:textId="77777777" w:rsidR="003068F2" w:rsidRDefault="00306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54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83A20" w14:textId="714C9569" w:rsidR="003068F2" w:rsidRDefault="00306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F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2AC8FF" w14:textId="77777777" w:rsidR="003068F2" w:rsidRDefault="00306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F2D84" w14:textId="77777777" w:rsidR="00275AF3" w:rsidRDefault="00275AF3">
      <w:pPr>
        <w:spacing w:after="0" w:line="240" w:lineRule="auto"/>
      </w:pPr>
      <w:r>
        <w:separator/>
      </w:r>
    </w:p>
  </w:footnote>
  <w:footnote w:type="continuationSeparator" w:id="0">
    <w:p w14:paraId="65180A4D" w14:textId="77777777" w:rsidR="00275AF3" w:rsidRDefault="0027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F36"/>
    <w:multiLevelType w:val="hybridMultilevel"/>
    <w:tmpl w:val="1884E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B04"/>
    <w:multiLevelType w:val="hybridMultilevel"/>
    <w:tmpl w:val="0A98DC5E"/>
    <w:lvl w:ilvl="0" w:tplc="FA2AD5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8F2"/>
    <w:multiLevelType w:val="hybridMultilevel"/>
    <w:tmpl w:val="E5102D84"/>
    <w:lvl w:ilvl="0" w:tplc="B29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41DD7"/>
    <w:multiLevelType w:val="hybridMultilevel"/>
    <w:tmpl w:val="0E8ED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20DA2"/>
    <w:multiLevelType w:val="hybridMultilevel"/>
    <w:tmpl w:val="0A98DC5E"/>
    <w:lvl w:ilvl="0" w:tplc="FA2AD52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8BB"/>
    <w:multiLevelType w:val="hybridMultilevel"/>
    <w:tmpl w:val="1884E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211A"/>
    <w:multiLevelType w:val="hybridMultilevel"/>
    <w:tmpl w:val="192028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6402"/>
    <w:multiLevelType w:val="hybridMultilevel"/>
    <w:tmpl w:val="DC8C81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F106A"/>
    <w:multiLevelType w:val="hybridMultilevel"/>
    <w:tmpl w:val="DC8C81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54FBC"/>
    <w:multiLevelType w:val="hybridMultilevel"/>
    <w:tmpl w:val="5B84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160D9"/>
    <w:multiLevelType w:val="hybridMultilevel"/>
    <w:tmpl w:val="5C7A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F3D30"/>
    <w:multiLevelType w:val="hybridMultilevel"/>
    <w:tmpl w:val="B8F66A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83B78"/>
    <w:multiLevelType w:val="hybridMultilevel"/>
    <w:tmpl w:val="1884E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5d00eapgr2r9mef5tqxttp255f9radpdd90&quot;&gt;NPDR CE databas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/record-ids&gt;&lt;/item&gt;&lt;/Libraries&gt;"/>
  </w:docVars>
  <w:rsids>
    <w:rsidRoot w:val="00A51407"/>
    <w:rsid w:val="00002A0F"/>
    <w:rsid w:val="00006E29"/>
    <w:rsid w:val="0001332A"/>
    <w:rsid w:val="000224AE"/>
    <w:rsid w:val="00022FF9"/>
    <w:rsid w:val="000238BD"/>
    <w:rsid w:val="0002788A"/>
    <w:rsid w:val="00033109"/>
    <w:rsid w:val="00034049"/>
    <w:rsid w:val="000362A9"/>
    <w:rsid w:val="000432EC"/>
    <w:rsid w:val="00046B12"/>
    <w:rsid w:val="00051A99"/>
    <w:rsid w:val="00053313"/>
    <w:rsid w:val="00063BC1"/>
    <w:rsid w:val="000676F1"/>
    <w:rsid w:val="00072BAF"/>
    <w:rsid w:val="0007505A"/>
    <w:rsid w:val="00077C8B"/>
    <w:rsid w:val="00084350"/>
    <w:rsid w:val="00086957"/>
    <w:rsid w:val="0008795D"/>
    <w:rsid w:val="00095F1A"/>
    <w:rsid w:val="000A0EC8"/>
    <w:rsid w:val="000B1921"/>
    <w:rsid w:val="000B4BD2"/>
    <w:rsid w:val="000B77AB"/>
    <w:rsid w:val="000B7CC2"/>
    <w:rsid w:val="000C7F3B"/>
    <w:rsid w:val="000D587A"/>
    <w:rsid w:val="000E3E33"/>
    <w:rsid w:val="000E7FCF"/>
    <w:rsid w:val="000F2A7F"/>
    <w:rsid w:val="000F73AB"/>
    <w:rsid w:val="00106F22"/>
    <w:rsid w:val="0011334D"/>
    <w:rsid w:val="001155A7"/>
    <w:rsid w:val="00121C4D"/>
    <w:rsid w:val="00123CF6"/>
    <w:rsid w:val="0012623B"/>
    <w:rsid w:val="00133749"/>
    <w:rsid w:val="00133F85"/>
    <w:rsid w:val="00135304"/>
    <w:rsid w:val="00144ECE"/>
    <w:rsid w:val="0014700F"/>
    <w:rsid w:val="00153577"/>
    <w:rsid w:val="00157A23"/>
    <w:rsid w:val="00162D4A"/>
    <w:rsid w:val="00171C36"/>
    <w:rsid w:val="00172DE4"/>
    <w:rsid w:val="001876C8"/>
    <w:rsid w:val="001910C7"/>
    <w:rsid w:val="00192F07"/>
    <w:rsid w:val="001A3089"/>
    <w:rsid w:val="001A6B4D"/>
    <w:rsid w:val="001B221A"/>
    <w:rsid w:val="001C0E06"/>
    <w:rsid w:val="001D6C91"/>
    <w:rsid w:val="001E0D91"/>
    <w:rsid w:val="001E550A"/>
    <w:rsid w:val="001E724B"/>
    <w:rsid w:val="001F2F75"/>
    <w:rsid w:val="001F3FEC"/>
    <w:rsid w:val="00200069"/>
    <w:rsid w:val="002023C7"/>
    <w:rsid w:val="00202A72"/>
    <w:rsid w:val="002124C3"/>
    <w:rsid w:val="0021282D"/>
    <w:rsid w:val="002204BC"/>
    <w:rsid w:val="002219AD"/>
    <w:rsid w:val="00222FDB"/>
    <w:rsid w:val="00242E87"/>
    <w:rsid w:val="00252580"/>
    <w:rsid w:val="00274B58"/>
    <w:rsid w:val="00275AF3"/>
    <w:rsid w:val="0028307F"/>
    <w:rsid w:val="00290093"/>
    <w:rsid w:val="002916EB"/>
    <w:rsid w:val="00293C85"/>
    <w:rsid w:val="0029470E"/>
    <w:rsid w:val="002954D3"/>
    <w:rsid w:val="002A4560"/>
    <w:rsid w:val="002B07E3"/>
    <w:rsid w:val="002B1439"/>
    <w:rsid w:val="002B2887"/>
    <w:rsid w:val="002C26E5"/>
    <w:rsid w:val="002C2F09"/>
    <w:rsid w:val="002C5AC3"/>
    <w:rsid w:val="002D4813"/>
    <w:rsid w:val="002D6C93"/>
    <w:rsid w:val="002E4C1A"/>
    <w:rsid w:val="002F50DA"/>
    <w:rsid w:val="00304B6F"/>
    <w:rsid w:val="003068F2"/>
    <w:rsid w:val="003137EB"/>
    <w:rsid w:val="00313EB2"/>
    <w:rsid w:val="00322410"/>
    <w:rsid w:val="00327400"/>
    <w:rsid w:val="003279DA"/>
    <w:rsid w:val="00327DA5"/>
    <w:rsid w:val="00333596"/>
    <w:rsid w:val="003367EF"/>
    <w:rsid w:val="003430A8"/>
    <w:rsid w:val="00343F89"/>
    <w:rsid w:val="0034792D"/>
    <w:rsid w:val="00347CBA"/>
    <w:rsid w:val="00350082"/>
    <w:rsid w:val="00350AB3"/>
    <w:rsid w:val="00355CE2"/>
    <w:rsid w:val="0035745F"/>
    <w:rsid w:val="00361B59"/>
    <w:rsid w:val="00362809"/>
    <w:rsid w:val="00374373"/>
    <w:rsid w:val="00376D6A"/>
    <w:rsid w:val="003825BE"/>
    <w:rsid w:val="00386C51"/>
    <w:rsid w:val="00387212"/>
    <w:rsid w:val="00396A55"/>
    <w:rsid w:val="003A0479"/>
    <w:rsid w:val="003A366A"/>
    <w:rsid w:val="003B07C0"/>
    <w:rsid w:val="003B2202"/>
    <w:rsid w:val="003B59A0"/>
    <w:rsid w:val="003B6BBC"/>
    <w:rsid w:val="003B70D9"/>
    <w:rsid w:val="003B7AF6"/>
    <w:rsid w:val="003C08FE"/>
    <w:rsid w:val="003C464C"/>
    <w:rsid w:val="003C7EBD"/>
    <w:rsid w:val="003D10AA"/>
    <w:rsid w:val="003D2E7F"/>
    <w:rsid w:val="003D32C4"/>
    <w:rsid w:val="003E0C17"/>
    <w:rsid w:val="003E1A03"/>
    <w:rsid w:val="003E1C6C"/>
    <w:rsid w:val="003F5C2F"/>
    <w:rsid w:val="00402A8A"/>
    <w:rsid w:val="00404259"/>
    <w:rsid w:val="00415E99"/>
    <w:rsid w:val="004164D0"/>
    <w:rsid w:val="00416797"/>
    <w:rsid w:val="00420AC8"/>
    <w:rsid w:val="00427551"/>
    <w:rsid w:val="0043700B"/>
    <w:rsid w:val="00446539"/>
    <w:rsid w:val="00460BDA"/>
    <w:rsid w:val="004632FD"/>
    <w:rsid w:val="00473CB1"/>
    <w:rsid w:val="004752B0"/>
    <w:rsid w:val="004820C3"/>
    <w:rsid w:val="004839DD"/>
    <w:rsid w:val="004A30E0"/>
    <w:rsid w:val="004B0411"/>
    <w:rsid w:val="004B4F5D"/>
    <w:rsid w:val="004D0A44"/>
    <w:rsid w:val="004D54D2"/>
    <w:rsid w:val="004E1891"/>
    <w:rsid w:val="004F024B"/>
    <w:rsid w:val="004F03EC"/>
    <w:rsid w:val="004F69D0"/>
    <w:rsid w:val="005003AF"/>
    <w:rsid w:val="00506D27"/>
    <w:rsid w:val="00507CD5"/>
    <w:rsid w:val="00511D44"/>
    <w:rsid w:val="00525518"/>
    <w:rsid w:val="005265AE"/>
    <w:rsid w:val="00542EA6"/>
    <w:rsid w:val="00547E6D"/>
    <w:rsid w:val="005524CC"/>
    <w:rsid w:val="0055326F"/>
    <w:rsid w:val="005622FB"/>
    <w:rsid w:val="0056692A"/>
    <w:rsid w:val="00574F26"/>
    <w:rsid w:val="00585587"/>
    <w:rsid w:val="00591C61"/>
    <w:rsid w:val="005A3A7C"/>
    <w:rsid w:val="005B562E"/>
    <w:rsid w:val="005D2B23"/>
    <w:rsid w:val="005D5352"/>
    <w:rsid w:val="005E036B"/>
    <w:rsid w:val="00605A0C"/>
    <w:rsid w:val="006249B4"/>
    <w:rsid w:val="006330F6"/>
    <w:rsid w:val="00641A74"/>
    <w:rsid w:val="006422E7"/>
    <w:rsid w:val="00655BBA"/>
    <w:rsid w:val="00664038"/>
    <w:rsid w:val="00667C45"/>
    <w:rsid w:val="00672A9C"/>
    <w:rsid w:val="00673FE9"/>
    <w:rsid w:val="00674960"/>
    <w:rsid w:val="00677B63"/>
    <w:rsid w:val="00677BD8"/>
    <w:rsid w:val="00683191"/>
    <w:rsid w:val="006846F9"/>
    <w:rsid w:val="00690A6E"/>
    <w:rsid w:val="0069167A"/>
    <w:rsid w:val="00693404"/>
    <w:rsid w:val="006A044A"/>
    <w:rsid w:val="006A5179"/>
    <w:rsid w:val="006A5AB6"/>
    <w:rsid w:val="006A6FE3"/>
    <w:rsid w:val="006B1874"/>
    <w:rsid w:val="006B1E00"/>
    <w:rsid w:val="006C03F3"/>
    <w:rsid w:val="006C2037"/>
    <w:rsid w:val="006C2319"/>
    <w:rsid w:val="006C32DD"/>
    <w:rsid w:val="006D08B5"/>
    <w:rsid w:val="006D49FC"/>
    <w:rsid w:val="006F009F"/>
    <w:rsid w:val="006F2F2F"/>
    <w:rsid w:val="006F7E62"/>
    <w:rsid w:val="007115A1"/>
    <w:rsid w:val="00711F0C"/>
    <w:rsid w:val="007166EF"/>
    <w:rsid w:val="00724A4C"/>
    <w:rsid w:val="00727AEF"/>
    <w:rsid w:val="00735458"/>
    <w:rsid w:val="0074174A"/>
    <w:rsid w:val="00743DB0"/>
    <w:rsid w:val="00744DB0"/>
    <w:rsid w:val="0075233F"/>
    <w:rsid w:val="00753CCC"/>
    <w:rsid w:val="00765954"/>
    <w:rsid w:val="00772C61"/>
    <w:rsid w:val="00774576"/>
    <w:rsid w:val="00774794"/>
    <w:rsid w:val="00780291"/>
    <w:rsid w:val="007807EE"/>
    <w:rsid w:val="007953E0"/>
    <w:rsid w:val="007B6A31"/>
    <w:rsid w:val="007B7801"/>
    <w:rsid w:val="007C324D"/>
    <w:rsid w:val="007C5F47"/>
    <w:rsid w:val="007C790F"/>
    <w:rsid w:val="007F21C9"/>
    <w:rsid w:val="007F2A12"/>
    <w:rsid w:val="00801C50"/>
    <w:rsid w:val="00820DA5"/>
    <w:rsid w:val="008226DA"/>
    <w:rsid w:val="008279A0"/>
    <w:rsid w:val="008352F1"/>
    <w:rsid w:val="0084024A"/>
    <w:rsid w:val="0084219B"/>
    <w:rsid w:val="0084766E"/>
    <w:rsid w:val="00852AA2"/>
    <w:rsid w:val="00853940"/>
    <w:rsid w:val="00857DB6"/>
    <w:rsid w:val="008605EB"/>
    <w:rsid w:val="00861AA7"/>
    <w:rsid w:val="0086212F"/>
    <w:rsid w:val="00873AA6"/>
    <w:rsid w:val="008740E0"/>
    <w:rsid w:val="00877346"/>
    <w:rsid w:val="008828EE"/>
    <w:rsid w:val="00884E8E"/>
    <w:rsid w:val="008858B1"/>
    <w:rsid w:val="008877DB"/>
    <w:rsid w:val="00887878"/>
    <w:rsid w:val="00894ADA"/>
    <w:rsid w:val="00896D82"/>
    <w:rsid w:val="008A223A"/>
    <w:rsid w:val="008B07C3"/>
    <w:rsid w:val="008B39F2"/>
    <w:rsid w:val="008B57A6"/>
    <w:rsid w:val="008B5AFC"/>
    <w:rsid w:val="008B7940"/>
    <w:rsid w:val="008C5918"/>
    <w:rsid w:val="008D0A7C"/>
    <w:rsid w:val="008D0B80"/>
    <w:rsid w:val="008D2576"/>
    <w:rsid w:val="008D2685"/>
    <w:rsid w:val="008D4010"/>
    <w:rsid w:val="008D611A"/>
    <w:rsid w:val="008E06E0"/>
    <w:rsid w:val="008E1C2A"/>
    <w:rsid w:val="008F0F1C"/>
    <w:rsid w:val="008F17F0"/>
    <w:rsid w:val="008F33A0"/>
    <w:rsid w:val="008F64A4"/>
    <w:rsid w:val="008F7953"/>
    <w:rsid w:val="00902EF6"/>
    <w:rsid w:val="009225A9"/>
    <w:rsid w:val="00922B7A"/>
    <w:rsid w:val="00924FBE"/>
    <w:rsid w:val="009361C2"/>
    <w:rsid w:val="009441A4"/>
    <w:rsid w:val="009443C9"/>
    <w:rsid w:val="0095118C"/>
    <w:rsid w:val="009544EF"/>
    <w:rsid w:val="00957A0D"/>
    <w:rsid w:val="00961DE7"/>
    <w:rsid w:val="009632F8"/>
    <w:rsid w:val="009709A0"/>
    <w:rsid w:val="009712DE"/>
    <w:rsid w:val="009719E1"/>
    <w:rsid w:val="00971B00"/>
    <w:rsid w:val="0098032B"/>
    <w:rsid w:val="00987D50"/>
    <w:rsid w:val="00990468"/>
    <w:rsid w:val="00990877"/>
    <w:rsid w:val="0099569B"/>
    <w:rsid w:val="00996DE6"/>
    <w:rsid w:val="00997E48"/>
    <w:rsid w:val="009A336D"/>
    <w:rsid w:val="009B052F"/>
    <w:rsid w:val="009B6873"/>
    <w:rsid w:val="009B73EE"/>
    <w:rsid w:val="009C6F6B"/>
    <w:rsid w:val="009D120F"/>
    <w:rsid w:val="009D2E06"/>
    <w:rsid w:val="009D3501"/>
    <w:rsid w:val="009E7CDC"/>
    <w:rsid w:val="00A008CC"/>
    <w:rsid w:val="00A05EAB"/>
    <w:rsid w:val="00A1150A"/>
    <w:rsid w:val="00A11B56"/>
    <w:rsid w:val="00A131C7"/>
    <w:rsid w:val="00A20B49"/>
    <w:rsid w:val="00A24322"/>
    <w:rsid w:val="00A27894"/>
    <w:rsid w:val="00A37052"/>
    <w:rsid w:val="00A3767D"/>
    <w:rsid w:val="00A474FB"/>
    <w:rsid w:val="00A51407"/>
    <w:rsid w:val="00A52B63"/>
    <w:rsid w:val="00A53C6B"/>
    <w:rsid w:val="00A635F3"/>
    <w:rsid w:val="00A64079"/>
    <w:rsid w:val="00A66EC9"/>
    <w:rsid w:val="00A736C8"/>
    <w:rsid w:val="00A76076"/>
    <w:rsid w:val="00A763B6"/>
    <w:rsid w:val="00A8567D"/>
    <w:rsid w:val="00A8637E"/>
    <w:rsid w:val="00A939CA"/>
    <w:rsid w:val="00A96F86"/>
    <w:rsid w:val="00AA12F4"/>
    <w:rsid w:val="00AA5C2A"/>
    <w:rsid w:val="00AA69EC"/>
    <w:rsid w:val="00AB2472"/>
    <w:rsid w:val="00AB44B2"/>
    <w:rsid w:val="00AB4B42"/>
    <w:rsid w:val="00AD07B9"/>
    <w:rsid w:val="00AD3E46"/>
    <w:rsid w:val="00AD4FA7"/>
    <w:rsid w:val="00AD7C83"/>
    <w:rsid w:val="00AE2A43"/>
    <w:rsid w:val="00AE59D6"/>
    <w:rsid w:val="00AF3265"/>
    <w:rsid w:val="00B034D6"/>
    <w:rsid w:val="00B03D59"/>
    <w:rsid w:val="00B0575D"/>
    <w:rsid w:val="00B17E5E"/>
    <w:rsid w:val="00B21492"/>
    <w:rsid w:val="00B2231B"/>
    <w:rsid w:val="00B37197"/>
    <w:rsid w:val="00B46300"/>
    <w:rsid w:val="00B51AE0"/>
    <w:rsid w:val="00B52BCB"/>
    <w:rsid w:val="00B52CC4"/>
    <w:rsid w:val="00B53659"/>
    <w:rsid w:val="00B56C20"/>
    <w:rsid w:val="00B60FB6"/>
    <w:rsid w:val="00B70F0D"/>
    <w:rsid w:val="00B738BA"/>
    <w:rsid w:val="00B76C49"/>
    <w:rsid w:val="00B77C69"/>
    <w:rsid w:val="00B8056E"/>
    <w:rsid w:val="00B853A2"/>
    <w:rsid w:val="00B8663D"/>
    <w:rsid w:val="00B96ADD"/>
    <w:rsid w:val="00B97A75"/>
    <w:rsid w:val="00BB0494"/>
    <w:rsid w:val="00BB7414"/>
    <w:rsid w:val="00BC40DB"/>
    <w:rsid w:val="00BD3578"/>
    <w:rsid w:val="00BE3798"/>
    <w:rsid w:val="00BE3A41"/>
    <w:rsid w:val="00BF5B97"/>
    <w:rsid w:val="00C006D4"/>
    <w:rsid w:val="00C0078F"/>
    <w:rsid w:val="00C244FD"/>
    <w:rsid w:val="00C261D4"/>
    <w:rsid w:val="00C73A28"/>
    <w:rsid w:val="00C743DD"/>
    <w:rsid w:val="00C75264"/>
    <w:rsid w:val="00C96A51"/>
    <w:rsid w:val="00CA70AE"/>
    <w:rsid w:val="00CB4C20"/>
    <w:rsid w:val="00CC7CB9"/>
    <w:rsid w:val="00CD2C14"/>
    <w:rsid w:val="00CD35DD"/>
    <w:rsid w:val="00CD7941"/>
    <w:rsid w:val="00CE0BBB"/>
    <w:rsid w:val="00CF3D11"/>
    <w:rsid w:val="00D02660"/>
    <w:rsid w:val="00D07C27"/>
    <w:rsid w:val="00D112D3"/>
    <w:rsid w:val="00D11490"/>
    <w:rsid w:val="00D14287"/>
    <w:rsid w:val="00D14525"/>
    <w:rsid w:val="00D221E5"/>
    <w:rsid w:val="00D22FCC"/>
    <w:rsid w:val="00D2305F"/>
    <w:rsid w:val="00D25EDD"/>
    <w:rsid w:val="00D4191A"/>
    <w:rsid w:val="00D505A6"/>
    <w:rsid w:val="00D533DF"/>
    <w:rsid w:val="00D605B0"/>
    <w:rsid w:val="00D61176"/>
    <w:rsid w:val="00D62B43"/>
    <w:rsid w:val="00D73DBC"/>
    <w:rsid w:val="00D82028"/>
    <w:rsid w:val="00D84848"/>
    <w:rsid w:val="00D92837"/>
    <w:rsid w:val="00DA6DDF"/>
    <w:rsid w:val="00DB29A1"/>
    <w:rsid w:val="00DB55D4"/>
    <w:rsid w:val="00DC78D5"/>
    <w:rsid w:val="00DD1E6D"/>
    <w:rsid w:val="00DD46E3"/>
    <w:rsid w:val="00DD7678"/>
    <w:rsid w:val="00DF61F6"/>
    <w:rsid w:val="00E0280D"/>
    <w:rsid w:val="00E167BF"/>
    <w:rsid w:val="00E17BBA"/>
    <w:rsid w:val="00E42002"/>
    <w:rsid w:val="00E46172"/>
    <w:rsid w:val="00E5090D"/>
    <w:rsid w:val="00E540CB"/>
    <w:rsid w:val="00E6040E"/>
    <w:rsid w:val="00E62CAB"/>
    <w:rsid w:val="00E62FAB"/>
    <w:rsid w:val="00E6465A"/>
    <w:rsid w:val="00E67823"/>
    <w:rsid w:val="00E840EC"/>
    <w:rsid w:val="00E906BF"/>
    <w:rsid w:val="00E92303"/>
    <w:rsid w:val="00E93523"/>
    <w:rsid w:val="00E979D1"/>
    <w:rsid w:val="00EA309B"/>
    <w:rsid w:val="00EA5686"/>
    <w:rsid w:val="00EC08A4"/>
    <w:rsid w:val="00EC26C9"/>
    <w:rsid w:val="00EC51BF"/>
    <w:rsid w:val="00EC7CE4"/>
    <w:rsid w:val="00ED2971"/>
    <w:rsid w:val="00ED43FF"/>
    <w:rsid w:val="00ED618B"/>
    <w:rsid w:val="00EE22F3"/>
    <w:rsid w:val="00EE2A3F"/>
    <w:rsid w:val="00EF20CF"/>
    <w:rsid w:val="00EF56AC"/>
    <w:rsid w:val="00EF6A74"/>
    <w:rsid w:val="00EF6F8A"/>
    <w:rsid w:val="00F035FB"/>
    <w:rsid w:val="00F042EC"/>
    <w:rsid w:val="00F34C5D"/>
    <w:rsid w:val="00F34EBB"/>
    <w:rsid w:val="00F352C8"/>
    <w:rsid w:val="00F45587"/>
    <w:rsid w:val="00F50C9A"/>
    <w:rsid w:val="00F54289"/>
    <w:rsid w:val="00F54E7A"/>
    <w:rsid w:val="00F60F10"/>
    <w:rsid w:val="00F66ACB"/>
    <w:rsid w:val="00F74F6B"/>
    <w:rsid w:val="00F76DBA"/>
    <w:rsid w:val="00F809AF"/>
    <w:rsid w:val="00F81581"/>
    <w:rsid w:val="00F831F9"/>
    <w:rsid w:val="00F84C01"/>
    <w:rsid w:val="00F85EDF"/>
    <w:rsid w:val="00F8624E"/>
    <w:rsid w:val="00F87920"/>
    <w:rsid w:val="00F92780"/>
    <w:rsid w:val="00FA07FE"/>
    <w:rsid w:val="00FA19C9"/>
    <w:rsid w:val="00FA5E0D"/>
    <w:rsid w:val="00FB084F"/>
    <w:rsid w:val="00FB6055"/>
    <w:rsid w:val="00FC6D84"/>
    <w:rsid w:val="00FD673E"/>
    <w:rsid w:val="00FE18B1"/>
    <w:rsid w:val="00FE2B6D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7F43"/>
  <w15:docId w15:val="{D2F42183-053B-49EE-8B59-BD140B4E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51"/>
    <w:pPr>
      <w:spacing w:after="200" w:line="276" w:lineRule="auto"/>
    </w:pPr>
  </w:style>
  <w:style w:type="paragraph" w:styleId="Heading1">
    <w:name w:val="heading 1"/>
    <w:aliases w:val="Chapters"/>
    <w:basedOn w:val="Normal"/>
    <w:next w:val="Normal"/>
    <w:link w:val="Heading1Char"/>
    <w:uiPriority w:val="9"/>
    <w:qFormat/>
    <w:rsid w:val="004839DD"/>
    <w:pPr>
      <w:spacing w:before="100" w:beforeAutospacing="1" w:after="240" w:line="240" w:lineRule="auto"/>
      <w:outlineLvl w:val="0"/>
    </w:pPr>
    <w:rPr>
      <w:rFonts w:ascii="Times New Roman" w:eastAsia="Times New Roman" w:hAnsi="Times New Roman" w:cs="Arial"/>
      <w:b/>
      <w:bCs/>
      <w:kern w:val="36"/>
      <w:sz w:val="28"/>
      <w:szCs w:val="36"/>
      <w:lang w:eastAsia="en-GB"/>
    </w:rPr>
  </w:style>
  <w:style w:type="paragraph" w:styleId="Heading2">
    <w:name w:val="heading 2"/>
    <w:aliases w:val="Numbered sub heading"/>
    <w:basedOn w:val="Normal"/>
    <w:next w:val="Normal"/>
    <w:link w:val="Heading2Char"/>
    <w:qFormat/>
    <w:rsid w:val="004839DD"/>
    <w:pPr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color w:val="000000" w:themeColor="text1"/>
      <w:szCs w:val="31"/>
      <w:lang w:eastAsia="en-GB"/>
    </w:rPr>
  </w:style>
  <w:style w:type="paragraph" w:styleId="Heading3">
    <w:name w:val="heading 3"/>
    <w:aliases w:val="Table heading"/>
    <w:basedOn w:val="Normal"/>
    <w:link w:val="Heading3Char"/>
    <w:uiPriority w:val="9"/>
    <w:qFormat/>
    <w:rsid w:val="004839DD"/>
    <w:pPr>
      <w:spacing w:before="150" w:after="60" w:line="240" w:lineRule="auto"/>
      <w:outlineLvl w:val="2"/>
    </w:pPr>
    <w:rPr>
      <w:rFonts w:ascii="Times New Roman" w:eastAsia="Times New Roman" w:hAnsi="Times New Roman" w:cs="Arial"/>
      <w:b/>
      <w:bCs/>
      <w:i/>
      <w:color w:val="333333"/>
      <w:szCs w:val="29"/>
      <w:lang w:eastAsia="en-GB"/>
    </w:rPr>
  </w:style>
  <w:style w:type="paragraph" w:styleId="Heading4">
    <w:name w:val="heading 4"/>
    <w:aliases w:val="Other study"/>
    <w:basedOn w:val="Normal"/>
    <w:next w:val="Normal"/>
    <w:link w:val="Heading4Char"/>
    <w:uiPriority w:val="9"/>
    <w:unhideWhenUsed/>
    <w:qFormat/>
    <w:rsid w:val="004839DD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51"/>
    <w:pPr>
      <w:ind w:left="720"/>
      <w:contextualSpacing/>
    </w:pPr>
  </w:style>
  <w:style w:type="character" w:customStyle="1" w:styleId="Heading1Char">
    <w:name w:val="Heading 1 Char"/>
    <w:aliases w:val="Chapters Char"/>
    <w:basedOn w:val="DefaultParagraphFont"/>
    <w:link w:val="Heading1"/>
    <w:uiPriority w:val="9"/>
    <w:rsid w:val="004839DD"/>
    <w:rPr>
      <w:rFonts w:ascii="Times New Roman" w:eastAsia="Times New Roman" w:hAnsi="Times New Roman" w:cs="Arial"/>
      <w:b/>
      <w:bCs/>
      <w:kern w:val="36"/>
      <w:sz w:val="28"/>
      <w:szCs w:val="36"/>
      <w:lang w:eastAsia="en-GB"/>
    </w:rPr>
  </w:style>
  <w:style w:type="character" w:customStyle="1" w:styleId="Heading2Char">
    <w:name w:val="Heading 2 Char"/>
    <w:aliases w:val="Numbered sub heading Char"/>
    <w:basedOn w:val="DefaultParagraphFont"/>
    <w:link w:val="Heading2"/>
    <w:rsid w:val="004839DD"/>
    <w:rPr>
      <w:rFonts w:ascii="Times New Roman" w:eastAsia="Times New Roman" w:hAnsi="Times New Roman" w:cs="Arial"/>
      <w:b/>
      <w:bCs/>
      <w:color w:val="000000" w:themeColor="text1"/>
      <w:szCs w:val="31"/>
      <w:lang w:eastAsia="en-GB"/>
    </w:rPr>
  </w:style>
  <w:style w:type="character" w:customStyle="1" w:styleId="Heading3Char">
    <w:name w:val="Heading 3 Char"/>
    <w:aliases w:val="Table heading Char"/>
    <w:basedOn w:val="DefaultParagraphFont"/>
    <w:link w:val="Heading3"/>
    <w:uiPriority w:val="9"/>
    <w:rsid w:val="004839DD"/>
    <w:rPr>
      <w:rFonts w:ascii="Times New Roman" w:eastAsia="Times New Roman" w:hAnsi="Times New Roman" w:cs="Arial"/>
      <w:b/>
      <w:bCs/>
      <w:i/>
      <w:color w:val="333333"/>
      <w:szCs w:val="29"/>
      <w:lang w:eastAsia="en-GB"/>
    </w:rPr>
  </w:style>
  <w:style w:type="character" w:customStyle="1" w:styleId="Heading4Char">
    <w:name w:val="Heading 4 Char"/>
    <w:aliases w:val="Other study Char"/>
    <w:basedOn w:val="DefaultParagraphFont"/>
    <w:link w:val="Heading4"/>
    <w:uiPriority w:val="9"/>
    <w:rsid w:val="004839DD"/>
    <w:rPr>
      <w:rFonts w:ascii="Times New Roman" w:eastAsiaTheme="majorEastAsia" w:hAnsi="Times New Roman" w:cstheme="majorBidi"/>
      <w:b/>
      <w:bCs/>
      <w:iCs/>
      <w:color w:val="000000" w:themeColor="text1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9DD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59"/>
    <w:rsid w:val="004839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839D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9DD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9D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839DD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839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D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4839DD"/>
  </w:style>
  <w:style w:type="paragraph" w:styleId="Footer">
    <w:name w:val="footer"/>
    <w:basedOn w:val="Normal"/>
    <w:link w:val="FooterChar"/>
    <w:uiPriority w:val="99"/>
    <w:unhideWhenUsed/>
    <w:rsid w:val="004839D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39D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839DD"/>
    <w:rPr>
      <w:i/>
      <w:iCs/>
    </w:rPr>
  </w:style>
  <w:style w:type="character" w:styleId="Strong">
    <w:name w:val="Strong"/>
    <w:basedOn w:val="DefaultParagraphFont"/>
    <w:uiPriority w:val="22"/>
    <w:qFormat/>
    <w:rsid w:val="004839DD"/>
    <w:rPr>
      <w:b/>
      <w:bCs/>
    </w:rPr>
  </w:style>
  <w:style w:type="paragraph" w:styleId="NormalWeb">
    <w:name w:val="Normal (Web)"/>
    <w:basedOn w:val="Normal"/>
    <w:uiPriority w:val="99"/>
    <w:unhideWhenUsed/>
    <w:rsid w:val="004839DD"/>
    <w:pPr>
      <w:spacing w:after="360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DD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DD"/>
    <w:pPr>
      <w:widowControl w:val="0"/>
      <w:spacing w:after="0"/>
    </w:pPr>
    <w:rPr>
      <w:rFonts w:eastAsia="Times New Roman" w:cs="Times New Roman"/>
      <w:b/>
      <w:bCs/>
      <w:snapToGrid w:val="0"/>
      <w:lang w:val="en-US"/>
    </w:rPr>
  </w:style>
  <w:style w:type="character" w:customStyle="1" w:styleId="CommentSubjectChar1">
    <w:name w:val="Comment Subject Char1"/>
    <w:basedOn w:val="CommentTextChar"/>
    <w:uiPriority w:val="99"/>
    <w:semiHidden/>
    <w:rsid w:val="004839DD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9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9DD"/>
    <w:rPr>
      <w:rFonts w:ascii="Consolas" w:hAnsi="Consolas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839DD"/>
    <w:pPr>
      <w:spacing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a-plus-plus">
    <w:name w:val="a-plus-plus"/>
    <w:basedOn w:val="Normal"/>
    <w:rsid w:val="0048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archhistory-search-term">
    <w:name w:val="searchhistory-search-term"/>
    <w:basedOn w:val="DefaultParagraphFont"/>
    <w:rsid w:val="004839DD"/>
  </w:style>
  <w:style w:type="paragraph" w:styleId="TOCHeading">
    <w:name w:val="TOC Heading"/>
    <w:basedOn w:val="Heading1"/>
    <w:next w:val="Normal"/>
    <w:uiPriority w:val="39"/>
    <w:unhideWhenUsed/>
    <w:qFormat/>
    <w:rsid w:val="004839DD"/>
    <w:pPr>
      <w:keepNext/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839DD"/>
    <w:pPr>
      <w:spacing w:after="10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4839DD"/>
    <w:pPr>
      <w:spacing w:after="100"/>
      <w:ind w:left="22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839DD"/>
    <w:pPr>
      <w:spacing w:after="100"/>
      <w:ind w:left="44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839DD"/>
    <w:rPr>
      <w:sz w:val="16"/>
      <w:szCs w:val="16"/>
    </w:rPr>
  </w:style>
  <w:style w:type="paragraph" w:styleId="Revision">
    <w:name w:val="Revision"/>
    <w:hidden/>
    <w:uiPriority w:val="99"/>
    <w:semiHidden/>
    <w:rsid w:val="004839DD"/>
    <w:pPr>
      <w:spacing w:after="0" w:line="240" w:lineRule="auto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839DD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839DD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839DD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839DD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839DD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839DD"/>
    <w:pPr>
      <w:spacing w:after="100"/>
      <w:ind w:left="1760"/>
    </w:pPr>
    <w:rPr>
      <w:rFonts w:eastAsiaTheme="minorEastAsia"/>
      <w:lang w:eastAsia="en-GB"/>
    </w:rPr>
  </w:style>
  <w:style w:type="character" w:customStyle="1" w:styleId="st">
    <w:name w:val="st"/>
    <w:basedOn w:val="DefaultParagraphFont"/>
    <w:rsid w:val="004839DD"/>
  </w:style>
  <w:style w:type="paragraph" w:styleId="TableofFigures">
    <w:name w:val="table of figures"/>
    <w:basedOn w:val="Normal"/>
    <w:next w:val="Normal"/>
    <w:uiPriority w:val="99"/>
    <w:unhideWhenUsed/>
    <w:rsid w:val="004839DD"/>
    <w:pPr>
      <w:spacing w:after="0"/>
    </w:pPr>
    <w:rPr>
      <w:rFonts w:ascii="Times New Roman" w:hAnsi="Times New Roman"/>
    </w:rPr>
  </w:style>
  <w:style w:type="character" w:customStyle="1" w:styleId="dbname1">
    <w:name w:val="dbname1"/>
    <w:basedOn w:val="DefaultParagraphFont"/>
    <w:rsid w:val="004839DD"/>
    <w:rPr>
      <w:b/>
      <w:bCs/>
      <w:color w:val="0A0905"/>
    </w:rPr>
  </w:style>
  <w:style w:type="character" w:customStyle="1" w:styleId="dbdate1">
    <w:name w:val="dbdate1"/>
    <w:basedOn w:val="DefaultParagraphFont"/>
    <w:rsid w:val="004839DD"/>
    <w:rPr>
      <w:b w:val="0"/>
      <w:bCs w:val="0"/>
      <w:color w:val="0A090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839DD"/>
  </w:style>
  <w:style w:type="table" w:customStyle="1" w:styleId="TableGrid1">
    <w:name w:val="Table Grid1"/>
    <w:basedOn w:val="TableNormal"/>
    <w:next w:val="TableGrid"/>
    <w:uiPriority w:val="59"/>
    <w:rsid w:val="004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839DD"/>
  </w:style>
  <w:style w:type="table" w:customStyle="1" w:styleId="TableGrid2">
    <w:name w:val="Table Grid2"/>
    <w:basedOn w:val="TableNormal"/>
    <w:next w:val="TableGrid"/>
    <w:uiPriority w:val="59"/>
    <w:rsid w:val="004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39DD"/>
    <w:rPr>
      <w:color w:val="808080"/>
    </w:rPr>
  </w:style>
  <w:style w:type="numbering" w:customStyle="1" w:styleId="NoList3">
    <w:name w:val="No List3"/>
    <w:next w:val="NoList"/>
    <w:uiPriority w:val="99"/>
    <w:semiHidden/>
    <w:unhideWhenUsed/>
    <w:rsid w:val="004839DD"/>
  </w:style>
  <w:style w:type="table" w:customStyle="1" w:styleId="TableGrid3">
    <w:name w:val="Table Grid3"/>
    <w:basedOn w:val="TableNormal"/>
    <w:next w:val="TableGrid"/>
    <w:uiPriority w:val="59"/>
    <w:rsid w:val="004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9DD"/>
    <w:rPr>
      <w:rFonts w:ascii="Courier New" w:hAnsi="Courier New" w:cs="Courier New"/>
      <w:sz w:val="20"/>
      <w:szCs w:val="20"/>
      <w:lang w:eastAsia="en-GB"/>
    </w:rPr>
  </w:style>
  <w:style w:type="paragraph" w:customStyle="1" w:styleId="Default">
    <w:name w:val="Default"/>
    <w:rsid w:val="00483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39DD"/>
    <w:rPr>
      <w:color w:val="954F72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48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839DD"/>
  </w:style>
  <w:style w:type="paragraph" w:styleId="EndnoteText">
    <w:name w:val="endnote text"/>
    <w:basedOn w:val="Normal"/>
    <w:link w:val="EndnoteTextChar"/>
    <w:uiPriority w:val="99"/>
    <w:semiHidden/>
    <w:unhideWhenUsed/>
    <w:rsid w:val="000340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40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4049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B96AD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6AD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6AD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6ADD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D09F-57B8-4B6E-B9E0-D06E2A7F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CABD0153</Template>
  <TotalTime>75</TotalTime>
  <Pages>7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Mistry, Hema</dc:creator>
  <cp:keywords/>
  <dc:description/>
  <cp:lastModifiedBy>Mistry, Hema</cp:lastModifiedBy>
  <cp:revision>21</cp:revision>
  <cp:lastPrinted>2015-12-08T11:37:00Z</cp:lastPrinted>
  <dcterms:created xsi:type="dcterms:W3CDTF">2015-12-09T08:43:00Z</dcterms:created>
  <dcterms:modified xsi:type="dcterms:W3CDTF">2017-07-19T09:31:00Z</dcterms:modified>
</cp:coreProperties>
</file>